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838FA" w14:textId="77777777" w:rsidR="000B6C49" w:rsidRDefault="0009276C">
      <w:pPr>
        <w:pStyle w:val="Title"/>
      </w:pPr>
      <w:r>
        <w:t>Exam3</w:t>
      </w:r>
    </w:p>
    <w:p w14:paraId="523E8B49" w14:textId="77777777" w:rsidR="000B6C49" w:rsidRDefault="0009276C">
      <w:pPr>
        <w:pStyle w:val="Author"/>
      </w:pPr>
      <w:r>
        <w:t>Clay Cavanaugh</w:t>
      </w:r>
    </w:p>
    <w:p w14:paraId="44725FC3" w14:textId="77777777" w:rsidR="000B6C49" w:rsidRDefault="0009276C">
      <w:pPr>
        <w:pStyle w:val="Date"/>
      </w:pPr>
      <w:r>
        <w:t>7/9/2020</w:t>
      </w:r>
    </w:p>
    <w:p w14:paraId="72D0996C" w14:textId="77777777" w:rsidR="000B6C49" w:rsidRDefault="0009276C">
      <w:pPr>
        <w:pStyle w:val="Compact"/>
        <w:numPr>
          <w:ilvl w:val="0"/>
          <w:numId w:val="2"/>
        </w:numPr>
      </w:pPr>
      <w:r>
        <w:t>Clearing the environmment</w:t>
      </w:r>
    </w:p>
    <w:p w14:paraId="479ABF6B" w14:textId="77777777" w:rsidR="000B6C49" w:rsidRDefault="0009276C">
      <w:pPr>
        <w:pStyle w:val="SourceCode"/>
      </w:pPr>
      <w:r>
        <w:rPr>
          <w:rStyle w:val="KeywordTok"/>
        </w:rPr>
        <w:t>rm</w:t>
      </w:r>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p>
    <w:p w14:paraId="16AE3707" w14:textId="77777777" w:rsidR="000B6C49" w:rsidRDefault="0009276C">
      <w:pPr>
        <w:pStyle w:val="FirstParagraph"/>
      </w:pPr>
      <w:r>
        <w:t>2.TidyCensus package</w:t>
      </w:r>
    </w:p>
    <w:p w14:paraId="3481C223" w14:textId="77777777" w:rsidR="000B6C49" w:rsidRDefault="0009276C">
      <w:pPr>
        <w:pStyle w:val="SourceCode"/>
      </w:pPr>
      <w:r>
        <w:rPr>
          <w:rStyle w:val="KeywordTok"/>
        </w:rPr>
        <w:t>library</w:t>
      </w:r>
      <w:r>
        <w:rPr>
          <w:rStyle w:val="NormalTok"/>
        </w:rPr>
        <w:t>(tidycensus)</w:t>
      </w:r>
      <w:r>
        <w:br/>
      </w:r>
      <w:r>
        <w:rPr>
          <w:rStyle w:val="KeywordTok"/>
        </w:rPr>
        <w:t>census_api_key</w:t>
      </w:r>
      <w:r>
        <w:rPr>
          <w:rStyle w:val="NormalTok"/>
        </w:rPr>
        <w:t>(</w:t>
      </w:r>
      <w:r>
        <w:rPr>
          <w:rStyle w:val="StringTok"/>
        </w:rPr>
        <w:t>"6600d5f356e5e45a3774c978db1bd5acd1fbfd3f"</w:t>
      </w:r>
      <w:r>
        <w:rPr>
          <w:rStyle w:val="NormalTok"/>
        </w:rPr>
        <w:t xml:space="preserve">, </w:t>
      </w:r>
      <w:r>
        <w:rPr>
          <w:rStyle w:val="DataTypeTok"/>
        </w:rPr>
        <w:t>install=</w:t>
      </w:r>
      <w:r>
        <w:rPr>
          <w:rStyle w:val="OtherTok"/>
        </w:rPr>
        <w:t>TRUE</w:t>
      </w:r>
      <w:r>
        <w:rPr>
          <w:rStyle w:val="NormalTok"/>
        </w:rPr>
        <w:t xml:space="preserve">, </w:t>
      </w:r>
      <w:r>
        <w:rPr>
          <w:rStyle w:val="DataTypeTok"/>
        </w:rPr>
        <w:t>overwrite=</w:t>
      </w:r>
      <w:r>
        <w:rPr>
          <w:rStyle w:val="NormalTok"/>
        </w:rPr>
        <w:t xml:space="preserve"> </w:t>
      </w:r>
      <w:r>
        <w:rPr>
          <w:rStyle w:val="OtherTok"/>
        </w:rPr>
        <w:t>TRUE</w:t>
      </w:r>
      <w:r>
        <w:rPr>
          <w:rStyle w:val="NormalTok"/>
        </w:rPr>
        <w:t>)</w:t>
      </w:r>
    </w:p>
    <w:p w14:paraId="71019433" w14:textId="77777777" w:rsidR="000B6C49" w:rsidRDefault="0009276C">
      <w:pPr>
        <w:pStyle w:val="SourceCode"/>
      </w:pPr>
      <w:r>
        <w:rPr>
          <w:rStyle w:val="VerbatimChar"/>
        </w:rPr>
        <w:t>## Your original .Renviron will be backed up and stored in your R HOME directory if needed.</w:t>
      </w:r>
    </w:p>
    <w:p w14:paraId="649F6069" w14:textId="77777777" w:rsidR="000B6C49" w:rsidRDefault="0009276C">
      <w:pPr>
        <w:pStyle w:val="SourceCode"/>
      </w:pPr>
      <w:r>
        <w:rPr>
          <w:rStyle w:val="VerbatimChar"/>
        </w:rPr>
        <w:t xml:space="preserve">## Your API key has been stored in your .Renviron and can be accessed by Sys.getenv("CENSUS_API_KEY"). </w:t>
      </w:r>
      <w:r>
        <w:br/>
      </w:r>
      <w:r>
        <w:rPr>
          <w:rStyle w:val="VerbatimChar"/>
        </w:rPr>
        <w:t>## To use now, restart R or run `readRenviron("~/.Renviron")</w:t>
      </w:r>
      <w:r>
        <w:rPr>
          <w:rStyle w:val="VerbatimChar"/>
        </w:rPr>
        <w:t>`</w:t>
      </w:r>
    </w:p>
    <w:p w14:paraId="51428DF6" w14:textId="77777777" w:rsidR="000B6C49" w:rsidRDefault="0009276C">
      <w:pPr>
        <w:pStyle w:val="SourceCode"/>
      </w:pPr>
      <w:r>
        <w:rPr>
          <w:rStyle w:val="VerbatimChar"/>
        </w:rPr>
        <w:t>## [1] "6600d5f356e5e45a3774c978db1bd5acd1fbfd3f"</w:t>
      </w:r>
    </w:p>
    <w:p w14:paraId="014CECD7" w14:textId="77777777" w:rsidR="000B6C49" w:rsidRDefault="0009276C">
      <w:pPr>
        <w:pStyle w:val="SourceCode"/>
      </w:pPr>
      <w:r>
        <w:rPr>
          <w:rStyle w:val="KeywordTok"/>
        </w:rPr>
        <w:t>readRenviron</w:t>
      </w:r>
      <w:r>
        <w:rPr>
          <w:rStyle w:val="NormalTok"/>
        </w:rPr>
        <w:t>(</w:t>
      </w:r>
      <w:r>
        <w:rPr>
          <w:rStyle w:val="StringTok"/>
        </w:rPr>
        <w:t>"~/.Renviron"</w:t>
      </w:r>
      <w:r>
        <w:rPr>
          <w:rStyle w:val="NormalTok"/>
        </w:rPr>
        <w:t>)</w:t>
      </w:r>
      <w:r>
        <w:br/>
      </w:r>
      <w:r>
        <w:rPr>
          <w:rStyle w:val="NormalTok"/>
        </w:rPr>
        <w:t>v15 &lt;-</w:t>
      </w:r>
      <w:r>
        <w:rPr>
          <w:rStyle w:val="StringTok"/>
        </w:rPr>
        <w:t xml:space="preserve"> </w:t>
      </w:r>
      <w:r>
        <w:rPr>
          <w:rStyle w:val="KeywordTok"/>
        </w:rPr>
        <w:t>load_variables</w:t>
      </w:r>
      <w:r>
        <w:rPr>
          <w:rStyle w:val="NormalTok"/>
        </w:rPr>
        <w:t>(</w:t>
      </w:r>
      <w:r>
        <w:rPr>
          <w:rStyle w:val="DataTypeTok"/>
        </w:rPr>
        <w:t>year =</w:t>
      </w:r>
      <w:r>
        <w:rPr>
          <w:rStyle w:val="NormalTok"/>
        </w:rPr>
        <w:t xml:space="preserve"> </w:t>
      </w:r>
      <w:r>
        <w:rPr>
          <w:rStyle w:val="DecValTok"/>
        </w:rPr>
        <w:t>2015</w:t>
      </w:r>
      <w:r>
        <w:rPr>
          <w:rStyle w:val="NormalTok"/>
        </w:rPr>
        <w:t>,</w:t>
      </w:r>
      <w:r>
        <w:br/>
      </w:r>
      <w:r>
        <w:rPr>
          <w:rStyle w:val="NormalTok"/>
        </w:rPr>
        <w:t xml:space="preserve">                      </w:t>
      </w:r>
      <w:r>
        <w:rPr>
          <w:rStyle w:val="DataTypeTok"/>
        </w:rPr>
        <w:t>datase =</w:t>
      </w:r>
      <w:r>
        <w:rPr>
          <w:rStyle w:val="NormalTok"/>
        </w:rPr>
        <w:t xml:space="preserve"> </w:t>
      </w:r>
      <w:r>
        <w:rPr>
          <w:rStyle w:val="StringTok"/>
        </w:rPr>
        <w:t>"acs5"</w:t>
      </w:r>
      <w:r>
        <w:rPr>
          <w:rStyle w:val="NormalTok"/>
        </w:rPr>
        <w:t>)</w:t>
      </w:r>
      <w:r>
        <w:br/>
      </w:r>
      <w:r>
        <w:rPr>
          <w:rStyle w:val="NormalTok"/>
        </w:rPr>
        <w:t>v10 &lt;-</w:t>
      </w:r>
      <w:r>
        <w:rPr>
          <w:rStyle w:val="StringTok"/>
        </w:rPr>
        <w:t xml:space="preserve"> </w:t>
      </w:r>
      <w:r>
        <w:rPr>
          <w:rStyle w:val="KeywordTok"/>
        </w:rPr>
        <w:t>load_variables</w:t>
      </w:r>
      <w:r>
        <w:rPr>
          <w:rStyle w:val="NormalTok"/>
        </w:rPr>
        <w:t>(</w:t>
      </w:r>
      <w:r>
        <w:rPr>
          <w:rStyle w:val="DataTypeTok"/>
        </w:rPr>
        <w:t>year =</w:t>
      </w:r>
      <w:r>
        <w:rPr>
          <w:rStyle w:val="NormalTok"/>
        </w:rPr>
        <w:t xml:space="preserve"> </w:t>
      </w:r>
      <w:r>
        <w:rPr>
          <w:rStyle w:val="DecValTok"/>
        </w:rPr>
        <w:t>2010</w:t>
      </w:r>
      <w:r>
        <w:rPr>
          <w:rStyle w:val="NormalTok"/>
        </w:rPr>
        <w:t>,</w:t>
      </w:r>
      <w:r>
        <w:br/>
      </w:r>
      <w:r>
        <w:rPr>
          <w:rStyle w:val="NormalTok"/>
        </w:rPr>
        <w:t xml:space="preserve">                      </w:t>
      </w:r>
      <w:r>
        <w:rPr>
          <w:rStyle w:val="DataTypeTok"/>
        </w:rPr>
        <w:t>datase =</w:t>
      </w:r>
      <w:r>
        <w:rPr>
          <w:rStyle w:val="NormalTok"/>
        </w:rPr>
        <w:t xml:space="preserve"> </w:t>
      </w:r>
      <w:r>
        <w:rPr>
          <w:rStyle w:val="StringTok"/>
        </w:rPr>
        <w:t>"acs5"</w:t>
      </w:r>
      <w:r>
        <w:rPr>
          <w:rStyle w:val="NormalTok"/>
        </w:rPr>
        <w:t>)</w:t>
      </w:r>
      <w:r>
        <w:br/>
      </w:r>
      <w:r>
        <w:rPr>
          <w:rStyle w:val="KeywordTok"/>
        </w:rPr>
        <w:t>library</w:t>
      </w:r>
      <w:r>
        <w:rPr>
          <w:rStyle w:val="NormalTok"/>
        </w:rPr>
        <w:t>(tidyverse)</w:t>
      </w:r>
    </w:p>
    <w:p w14:paraId="7F2698BE" w14:textId="77777777" w:rsidR="000B6C49" w:rsidRDefault="0009276C">
      <w:pPr>
        <w:pStyle w:val="SourceCode"/>
      </w:pPr>
      <w:r>
        <w:rPr>
          <w:rStyle w:val="VerbatimChar"/>
        </w:rPr>
        <w:t>## -- Att</w:t>
      </w:r>
      <w:r>
        <w:rPr>
          <w:rStyle w:val="VerbatimChar"/>
        </w:rPr>
        <w:t>aching packages ------------------------------------- tidyverse 1.3.0 --</w:t>
      </w:r>
    </w:p>
    <w:p w14:paraId="06BEAA6A" w14:textId="77777777" w:rsidR="000B6C49" w:rsidRDefault="0009276C">
      <w:pPr>
        <w:pStyle w:val="SourceCode"/>
      </w:pPr>
      <w:r>
        <w:rPr>
          <w:rStyle w:val="VerbatimChar"/>
        </w:rPr>
        <w:t>## v ggplot2 3.3.2     v purrr   0.3.4</w:t>
      </w:r>
      <w:r>
        <w:br/>
      </w:r>
      <w:r>
        <w:rPr>
          <w:rStyle w:val="VerbatimChar"/>
        </w:rPr>
        <w:t>## v tibble  3.0.1     v dplyr   1.0.0</w:t>
      </w:r>
      <w:r>
        <w:br/>
      </w:r>
      <w:r>
        <w:rPr>
          <w:rStyle w:val="VerbatimChar"/>
        </w:rPr>
        <w:t>## v tidyr   1.1.0     v stringr 1.4.0</w:t>
      </w:r>
      <w:r>
        <w:br/>
      </w:r>
      <w:r>
        <w:rPr>
          <w:rStyle w:val="VerbatimChar"/>
        </w:rPr>
        <w:t>## v readr   1.3.1     v forcats 0.5.0</w:t>
      </w:r>
    </w:p>
    <w:p w14:paraId="5B9C470C" w14:textId="77777777" w:rsidR="000B6C49" w:rsidRDefault="0009276C">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155E8D73" w14:textId="77777777" w:rsidR="000B6C49" w:rsidRDefault="0009276C">
      <w:pPr>
        <w:pStyle w:val="SourceCode"/>
      </w:pPr>
      <w:r>
        <w:rPr>
          <w:rStyle w:val="NormalTok"/>
        </w:rPr>
        <w:t>inequality_panel &lt;-</w:t>
      </w:r>
      <w:r>
        <w:rPr>
          <w:rStyle w:val="StringTok"/>
        </w:rPr>
        <w:t xml:space="preserve"> </w:t>
      </w:r>
      <w:r>
        <w:rPr>
          <w:rStyle w:val="KeywordTok"/>
        </w:rPr>
        <w:t>bind_rows</w:t>
      </w:r>
      <w:r>
        <w:rPr>
          <w:rStyle w:val="NormalTok"/>
        </w:rPr>
        <w:t>(v10, v15)</w:t>
      </w:r>
      <w:r>
        <w:br/>
      </w:r>
      <w:r>
        <w:br/>
      </w:r>
      <w:r>
        <w:rPr>
          <w:rStyle w:val="NormalTok"/>
        </w:rPr>
        <w:t>estimate &lt;-</w:t>
      </w:r>
      <w:r>
        <w:rPr>
          <w:rStyle w:val="StringTok"/>
        </w:rPr>
        <w:t xml:space="preserve"> </w:t>
      </w:r>
      <w:r>
        <w:rPr>
          <w:rStyle w:val="KeywordTok"/>
        </w:rPr>
        <w:t>get_acs</w:t>
      </w:r>
      <w:r>
        <w:rPr>
          <w:rStyle w:val="NormalTok"/>
        </w:rPr>
        <w:t>(</w:t>
      </w:r>
      <w:r>
        <w:rPr>
          <w:rStyle w:val="DataTypeTok"/>
        </w:rPr>
        <w:t>geograph =</w:t>
      </w:r>
      <w:r>
        <w:rPr>
          <w:rStyle w:val="NormalTok"/>
        </w:rPr>
        <w:t xml:space="preserve"> </w:t>
      </w:r>
      <w:r>
        <w:rPr>
          <w:rStyle w:val="StringTok"/>
        </w:rPr>
        <w:t>"state"</w:t>
      </w:r>
      <w:r>
        <w:rPr>
          <w:rStyle w:val="NormalTok"/>
        </w:rPr>
        <w:t>,</w:t>
      </w:r>
      <w:r>
        <w:br/>
      </w:r>
      <w:r>
        <w:rPr>
          <w:rStyle w:val="NormalTok"/>
        </w:rPr>
        <w:t xml:space="preserve">                 </w:t>
      </w:r>
      <w:r>
        <w:rPr>
          <w:rStyle w:val="DataTypeTok"/>
        </w:rPr>
        <w:t>variables =</w:t>
      </w:r>
      <w:r>
        <w:rPr>
          <w:rStyle w:val="NormalTok"/>
        </w:rPr>
        <w:t xml:space="preserve"> </w:t>
      </w:r>
      <w:r>
        <w:rPr>
          <w:rStyle w:val="KeywordTok"/>
        </w:rPr>
        <w:t>c</w:t>
      </w:r>
      <w:r>
        <w:rPr>
          <w:rStyle w:val="NormalTok"/>
        </w:rPr>
        <w:t>(</w:t>
      </w:r>
      <w:r>
        <w:rPr>
          <w:rStyle w:val="DataTypeTok"/>
        </w:rPr>
        <w:t>gini =</w:t>
      </w:r>
      <w:r>
        <w:rPr>
          <w:rStyle w:val="NormalTok"/>
        </w:rPr>
        <w:t xml:space="preserve"> </w:t>
      </w:r>
      <w:r>
        <w:rPr>
          <w:rStyle w:val="KeywordTok"/>
        </w:rPr>
        <w:t>c</w:t>
      </w:r>
      <w:r>
        <w:rPr>
          <w:rStyle w:val="NormalTok"/>
        </w:rPr>
        <w:t>(</w:t>
      </w:r>
      <w:r>
        <w:rPr>
          <w:rStyle w:val="StringTok"/>
        </w:rPr>
        <w:t>"B19083_001"</w:t>
      </w:r>
      <w:r>
        <w:rPr>
          <w:rStyle w:val="NormalTok"/>
        </w:rPr>
        <w:t>)),</w:t>
      </w:r>
      <w:r>
        <w:br/>
      </w:r>
      <w:r>
        <w:rPr>
          <w:rStyle w:val="NormalTok"/>
        </w:rPr>
        <w:t xml:space="preserve">                 </w:t>
      </w:r>
      <w:r>
        <w:rPr>
          <w:rStyle w:val="DataTypeTok"/>
        </w:rPr>
        <w:t>year =</w:t>
      </w:r>
      <w:r>
        <w:rPr>
          <w:rStyle w:val="NormalTok"/>
        </w:rPr>
        <w:t xml:space="preserve"> </w:t>
      </w:r>
      <w:r>
        <w:rPr>
          <w:rStyle w:val="DecValTok"/>
        </w:rPr>
        <w:t>2010</w:t>
      </w:r>
      <w:r>
        <w:rPr>
          <w:rStyle w:val="NormalTok"/>
        </w:rPr>
        <w:t>)</w:t>
      </w:r>
    </w:p>
    <w:p w14:paraId="67653271" w14:textId="77777777" w:rsidR="000B6C49" w:rsidRDefault="0009276C">
      <w:pPr>
        <w:pStyle w:val="SourceCode"/>
      </w:pPr>
      <w:r>
        <w:rPr>
          <w:rStyle w:val="VerbatimChar"/>
        </w:rPr>
        <w:lastRenderedPageBreak/>
        <w:t>## Getting data from the 2006-2010 5-year ACS</w:t>
      </w:r>
    </w:p>
    <w:p w14:paraId="304D05B3" w14:textId="77777777" w:rsidR="000B6C49" w:rsidRDefault="0009276C">
      <w:pPr>
        <w:pStyle w:val="SourceCode"/>
      </w:pPr>
      <w:r>
        <w:rPr>
          <w:rStyle w:val="NormalTok"/>
        </w:rPr>
        <w:t>estimate2 &lt;-</w:t>
      </w:r>
      <w:r>
        <w:rPr>
          <w:rStyle w:val="StringTok"/>
        </w:rPr>
        <w:t xml:space="preserve"> </w:t>
      </w:r>
      <w:r>
        <w:rPr>
          <w:rStyle w:val="KeywordTok"/>
        </w:rPr>
        <w:t>get_acs</w:t>
      </w:r>
      <w:r>
        <w:rPr>
          <w:rStyle w:val="NormalTok"/>
        </w:rPr>
        <w:t>(</w:t>
      </w:r>
      <w:r>
        <w:rPr>
          <w:rStyle w:val="DataTypeTok"/>
        </w:rPr>
        <w:t>geograph =</w:t>
      </w:r>
      <w:r>
        <w:rPr>
          <w:rStyle w:val="NormalTok"/>
        </w:rPr>
        <w:t xml:space="preserve"> </w:t>
      </w:r>
      <w:r>
        <w:rPr>
          <w:rStyle w:val="StringTok"/>
        </w:rPr>
        <w:t>"state"</w:t>
      </w:r>
      <w:r>
        <w:rPr>
          <w:rStyle w:val="NormalTok"/>
        </w:rPr>
        <w:t>,</w:t>
      </w:r>
      <w:r>
        <w:br/>
      </w:r>
      <w:r>
        <w:rPr>
          <w:rStyle w:val="NormalTok"/>
        </w:rPr>
        <w:t xml:space="preserve">                 </w:t>
      </w:r>
      <w:r>
        <w:rPr>
          <w:rStyle w:val="DataTypeTok"/>
        </w:rPr>
        <w:t>variables =</w:t>
      </w:r>
      <w:r>
        <w:rPr>
          <w:rStyle w:val="NormalTok"/>
        </w:rPr>
        <w:t xml:space="preserve"> </w:t>
      </w:r>
      <w:r>
        <w:rPr>
          <w:rStyle w:val="KeywordTok"/>
        </w:rPr>
        <w:t>c</w:t>
      </w:r>
      <w:r>
        <w:rPr>
          <w:rStyle w:val="NormalTok"/>
        </w:rPr>
        <w:t>(</w:t>
      </w:r>
      <w:r>
        <w:rPr>
          <w:rStyle w:val="DataTypeTok"/>
        </w:rPr>
        <w:t>gini =</w:t>
      </w:r>
      <w:r>
        <w:rPr>
          <w:rStyle w:val="NormalTok"/>
        </w:rPr>
        <w:t xml:space="preserve"> </w:t>
      </w:r>
      <w:r>
        <w:rPr>
          <w:rStyle w:val="KeywordTok"/>
        </w:rPr>
        <w:t>c</w:t>
      </w:r>
      <w:r>
        <w:rPr>
          <w:rStyle w:val="NormalTok"/>
        </w:rPr>
        <w:t>(</w:t>
      </w:r>
      <w:r>
        <w:rPr>
          <w:rStyle w:val="StringTok"/>
        </w:rPr>
        <w:t>"B19083_001"</w:t>
      </w:r>
      <w:r>
        <w:rPr>
          <w:rStyle w:val="NormalTok"/>
        </w:rPr>
        <w:t>)),</w:t>
      </w:r>
      <w:r>
        <w:br/>
      </w:r>
      <w:r>
        <w:rPr>
          <w:rStyle w:val="NormalTok"/>
        </w:rPr>
        <w:t xml:space="preserve">                 </w:t>
      </w:r>
      <w:r>
        <w:rPr>
          <w:rStyle w:val="DataTypeTok"/>
        </w:rPr>
        <w:t>year =</w:t>
      </w:r>
      <w:r>
        <w:rPr>
          <w:rStyle w:val="NormalTok"/>
        </w:rPr>
        <w:t xml:space="preserve"> </w:t>
      </w:r>
      <w:r>
        <w:rPr>
          <w:rStyle w:val="DecValTok"/>
        </w:rPr>
        <w:t>2015</w:t>
      </w:r>
      <w:r>
        <w:rPr>
          <w:rStyle w:val="NormalTok"/>
        </w:rPr>
        <w:t>)</w:t>
      </w:r>
    </w:p>
    <w:p w14:paraId="15E0660B" w14:textId="77777777" w:rsidR="000B6C49" w:rsidRDefault="0009276C">
      <w:pPr>
        <w:pStyle w:val="SourceCode"/>
      </w:pPr>
      <w:r>
        <w:rPr>
          <w:rStyle w:val="VerbatimChar"/>
        </w:rPr>
        <w:t>## Getting dat</w:t>
      </w:r>
      <w:r>
        <w:rPr>
          <w:rStyle w:val="VerbatimChar"/>
        </w:rPr>
        <w:t>a from the 2011-2015 5-year ACS</w:t>
      </w:r>
    </w:p>
    <w:p w14:paraId="5CB76872" w14:textId="77777777" w:rsidR="000B6C49" w:rsidRDefault="0009276C">
      <w:pPr>
        <w:pStyle w:val="SourceCode"/>
      </w:pPr>
      <w:r>
        <w:rPr>
          <w:rStyle w:val="KeywordTok"/>
        </w:rPr>
        <w:t>library</w:t>
      </w:r>
      <w:r>
        <w:rPr>
          <w:rStyle w:val="NormalTok"/>
        </w:rPr>
        <w:t>(tidyverse)</w:t>
      </w:r>
      <w:r>
        <w:br/>
      </w:r>
      <w:r>
        <w:rPr>
          <w:rStyle w:val="NormalTok"/>
        </w:rPr>
        <w:t>inequality_panel2 &lt;-</w:t>
      </w:r>
      <w:r>
        <w:rPr>
          <w:rStyle w:val="StringTok"/>
        </w:rPr>
        <w:t xml:space="preserve"> </w:t>
      </w:r>
      <w:r>
        <w:rPr>
          <w:rStyle w:val="KeywordTok"/>
        </w:rPr>
        <w:t>bind_rows</w:t>
      </w:r>
      <w:r>
        <w:rPr>
          <w:rStyle w:val="NormalTok"/>
        </w:rPr>
        <w:t>(estimate, estimate2)</w:t>
      </w:r>
      <w:r>
        <w:br/>
      </w:r>
      <w:r>
        <w:br/>
      </w:r>
      <w:r>
        <w:rPr>
          <w:rStyle w:val="CommentTok"/>
        </w:rPr>
        <w:t>#renaming estimate as gini</w:t>
      </w:r>
      <w:r>
        <w:br/>
      </w:r>
      <w:r>
        <w:rPr>
          <w:rStyle w:val="KeywordTok"/>
        </w:rPr>
        <w:t>library</w:t>
      </w:r>
      <w:r>
        <w:rPr>
          <w:rStyle w:val="NormalTok"/>
        </w:rPr>
        <w:t>(data.table)</w:t>
      </w:r>
    </w:p>
    <w:p w14:paraId="032EBCF4" w14:textId="77777777" w:rsidR="000B6C49" w:rsidRDefault="0009276C">
      <w:pPr>
        <w:pStyle w:val="SourceCode"/>
      </w:pPr>
      <w:r>
        <w:rPr>
          <w:rStyle w:val="VerbatimChar"/>
        </w:rPr>
        <w:t xml:space="preserve">## </w:t>
      </w:r>
      <w:r>
        <w:br/>
      </w:r>
      <w:r>
        <w:rPr>
          <w:rStyle w:val="VerbatimChar"/>
        </w:rPr>
        <w:t>## Attaching package: 'data.table'</w:t>
      </w:r>
    </w:p>
    <w:p w14:paraId="33138075" w14:textId="77777777" w:rsidR="000B6C49" w:rsidRDefault="0009276C">
      <w:pPr>
        <w:pStyle w:val="SourceCode"/>
      </w:pPr>
      <w:r>
        <w:rPr>
          <w:rStyle w:val="VerbatimChar"/>
        </w:rPr>
        <w:t>## The following objects are masked from 'package:dplyr':</w:t>
      </w:r>
      <w:r>
        <w:br/>
      </w:r>
      <w:r>
        <w:rPr>
          <w:rStyle w:val="VerbatimChar"/>
        </w:rPr>
        <w:t xml:space="preserve">## </w:t>
      </w:r>
      <w:r>
        <w:br/>
      </w:r>
      <w:r>
        <w:rPr>
          <w:rStyle w:val="VerbatimChar"/>
        </w:rPr>
        <w:t xml:space="preserve">##  </w:t>
      </w:r>
      <w:r>
        <w:rPr>
          <w:rStyle w:val="VerbatimChar"/>
        </w:rPr>
        <w:t xml:space="preserve">   between, first, last</w:t>
      </w:r>
    </w:p>
    <w:p w14:paraId="0E33DB9B" w14:textId="77777777" w:rsidR="000B6C49" w:rsidRDefault="0009276C">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767C7E48" w14:textId="77777777" w:rsidR="000B6C49" w:rsidRDefault="0009276C">
      <w:pPr>
        <w:pStyle w:val="SourceCode"/>
      </w:pPr>
      <w:r>
        <w:rPr>
          <w:rStyle w:val="KeywordTok"/>
        </w:rPr>
        <w:t>setnames</w:t>
      </w:r>
      <w:r>
        <w:rPr>
          <w:rStyle w:val="NormalTok"/>
        </w:rPr>
        <w:t xml:space="preserve">(inequality_panel2, </w:t>
      </w:r>
      <w:r>
        <w:rPr>
          <w:rStyle w:val="StringTok"/>
        </w:rPr>
        <w:t>"estimate"</w:t>
      </w:r>
      <w:r>
        <w:rPr>
          <w:rStyle w:val="NormalTok"/>
        </w:rPr>
        <w:t xml:space="preserve">, </w:t>
      </w:r>
      <w:r>
        <w:rPr>
          <w:rStyle w:val="StringTok"/>
        </w:rPr>
        <w:t>"gini"</w:t>
      </w:r>
      <w:r>
        <w:rPr>
          <w:rStyle w:val="NormalTok"/>
        </w:rPr>
        <w:t>)</w:t>
      </w:r>
      <w:r>
        <w:br/>
      </w:r>
      <w:r>
        <w:br/>
      </w:r>
      <w:r>
        <w:rPr>
          <w:rStyle w:val="CommentTok"/>
        </w:rPr>
        <w:t>#renaming state as well</w:t>
      </w:r>
      <w:r>
        <w:br/>
      </w:r>
      <w:r>
        <w:rPr>
          <w:rStyle w:val="KeywordTok"/>
        </w:rPr>
        <w:t>setnames</w:t>
      </w:r>
      <w:r>
        <w:rPr>
          <w:rStyle w:val="NormalTok"/>
        </w:rPr>
        <w:t xml:space="preserve">(inequality_panel2, </w:t>
      </w:r>
      <w:r>
        <w:rPr>
          <w:rStyle w:val="StringTok"/>
        </w:rPr>
        <w:t>"NAME"</w:t>
      </w:r>
      <w:r>
        <w:rPr>
          <w:rStyle w:val="NormalTok"/>
        </w:rPr>
        <w:t xml:space="preserve">, </w:t>
      </w:r>
      <w:r>
        <w:rPr>
          <w:rStyle w:val="StringTok"/>
        </w:rPr>
        <w:t>"state"</w:t>
      </w:r>
      <w:r>
        <w:rPr>
          <w:rStyle w:val="NormalTok"/>
        </w:rPr>
        <w:t>)</w:t>
      </w:r>
      <w:r>
        <w:br/>
      </w:r>
      <w:r>
        <w:br/>
      </w:r>
      <w:r>
        <w:rPr>
          <w:rStyle w:val="CommentTok"/>
        </w:rPr>
        <w:t>#adding year variable</w:t>
      </w:r>
      <w:r>
        <w:br/>
      </w:r>
      <w:r>
        <w:br/>
      </w:r>
      <w:r>
        <w:br/>
      </w:r>
      <w:r>
        <w:rPr>
          <w:rStyle w:val="CommentTok"/>
        </w:rPr>
        <w:t>#head command</w:t>
      </w:r>
      <w:r>
        <w:br/>
      </w:r>
      <w:r>
        <w:rPr>
          <w:rStyle w:val="KeywordTok"/>
        </w:rPr>
        <w:t>head</w:t>
      </w:r>
      <w:r>
        <w:rPr>
          <w:rStyle w:val="NormalTok"/>
        </w:rPr>
        <w:t>(inequality_panel2)</w:t>
      </w:r>
    </w:p>
    <w:p w14:paraId="21057A1B" w14:textId="77777777" w:rsidR="000B6C49" w:rsidRDefault="0009276C">
      <w:pPr>
        <w:pStyle w:val="SourceCode"/>
      </w:pPr>
      <w:r>
        <w:rPr>
          <w:rStyle w:val="VerbatimChar"/>
        </w:rPr>
        <w:t>## # A tibble: 6 x 5</w:t>
      </w:r>
      <w:r>
        <w:br/>
      </w:r>
      <w:r>
        <w:rPr>
          <w:rStyle w:val="VerbatimChar"/>
        </w:rPr>
        <w:t>##   GEOID state      variable  gini   moe</w:t>
      </w:r>
      <w:r>
        <w:br/>
      </w:r>
      <w:r>
        <w:rPr>
          <w:rStyle w:val="VerbatimChar"/>
        </w:rPr>
        <w:t>##   &lt;chr&gt; &lt;chr&gt;      &lt;chr&gt;    &lt;dbl&gt; &lt;dbl&gt;</w:t>
      </w:r>
      <w:r>
        <w:br/>
      </w:r>
      <w:r>
        <w:rPr>
          <w:rStyle w:val="VerbatimChar"/>
        </w:rPr>
        <w:t>## 1 01    Alabama    gini     0.47  0.003</w:t>
      </w:r>
      <w:r>
        <w:br/>
      </w:r>
      <w:r>
        <w:rPr>
          <w:rStyle w:val="VerbatimChar"/>
        </w:rPr>
        <w:t>## 2 02    Alaska     gini     0.412 0.006</w:t>
      </w:r>
      <w:r>
        <w:br/>
      </w:r>
      <w:r>
        <w:rPr>
          <w:rStyle w:val="VerbatimChar"/>
        </w:rPr>
        <w:t>#</w:t>
      </w:r>
      <w:r>
        <w:rPr>
          <w:rStyle w:val="VerbatimChar"/>
        </w:rPr>
        <w:t># 3 04    Arizona    gini     0.453 0.002</w:t>
      </w:r>
      <w:r>
        <w:br/>
      </w:r>
      <w:r>
        <w:rPr>
          <w:rStyle w:val="VerbatimChar"/>
        </w:rPr>
        <w:t>## 4 05    Arkansas   gini     0.459 0.003</w:t>
      </w:r>
      <w:r>
        <w:br/>
      </w:r>
      <w:r>
        <w:rPr>
          <w:rStyle w:val="VerbatimChar"/>
        </w:rPr>
        <w:t>## 5 06    California gini     0.469 0.001</w:t>
      </w:r>
      <w:r>
        <w:br/>
      </w:r>
      <w:r>
        <w:rPr>
          <w:rStyle w:val="VerbatimChar"/>
        </w:rPr>
        <w:t>## 6 08    Colorado   gini     0.455 0.003</w:t>
      </w:r>
    </w:p>
    <w:p w14:paraId="6A2A31A7" w14:textId="77777777" w:rsidR="000B6C49" w:rsidRDefault="0009276C">
      <w:pPr>
        <w:pStyle w:val="Compact"/>
        <w:numPr>
          <w:ilvl w:val="0"/>
          <w:numId w:val="3"/>
        </w:numPr>
      </w:pPr>
      <w:r>
        <w:t>Reshaping the inequality value wide</w:t>
      </w:r>
    </w:p>
    <w:p w14:paraId="6FBFB752" w14:textId="77777777" w:rsidR="000B6C49" w:rsidRDefault="0009276C">
      <w:pPr>
        <w:pStyle w:val="SourceCode"/>
      </w:pPr>
      <w:r>
        <w:rPr>
          <w:rStyle w:val="NormalTok"/>
        </w:rPr>
        <w:t>inequality_wide &lt;-</w:t>
      </w:r>
      <w:r>
        <w:rPr>
          <w:rStyle w:val="StringTok"/>
        </w:rPr>
        <w:t xml:space="preserve"> </w:t>
      </w:r>
      <w:r>
        <w:br/>
      </w:r>
      <w:r>
        <w:rPr>
          <w:rStyle w:val="StringTok"/>
        </w:rPr>
        <w:t xml:space="preserve">  </w:t>
      </w:r>
      <w:r>
        <w:rPr>
          <w:rStyle w:val="NormalTok"/>
        </w:rPr>
        <w:t xml:space="preserve">inequality_panel2 </w:t>
      </w:r>
      <w:r>
        <w:rPr>
          <w:rStyle w:val="OperatorTok"/>
        </w:rPr>
        <w:t>%&gt;%</w:t>
      </w:r>
      <w:r>
        <w:br/>
      </w:r>
      <w:r>
        <w:rPr>
          <w:rStyle w:val="StringTok"/>
        </w:rPr>
        <w:t xml:space="preserve">  </w:t>
      </w:r>
      <w:r>
        <w:rPr>
          <w:rStyle w:val="KeywordTok"/>
        </w:rPr>
        <w:t>piv</w:t>
      </w:r>
      <w:r>
        <w:rPr>
          <w:rStyle w:val="KeywordTok"/>
        </w:rPr>
        <w:t>ot_wider</w:t>
      </w:r>
      <w:r>
        <w:rPr>
          <w:rStyle w:val="NormalTok"/>
        </w:rPr>
        <w:t>(</w:t>
      </w:r>
      <w:r>
        <w:rPr>
          <w:rStyle w:val="DataTypeTok"/>
        </w:rPr>
        <w:t>id_cols =</w:t>
      </w:r>
      <w:r>
        <w:rPr>
          <w:rStyle w:val="NormalTok"/>
        </w:rPr>
        <w:t xml:space="preserve"> </w:t>
      </w:r>
      <w:r>
        <w:rPr>
          <w:rStyle w:val="KeywordTok"/>
        </w:rPr>
        <w:t>c</w:t>
      </w:r>
      <w:r>
        <w:rPr>
          <w:rStyle w:val="NormalTok"/>
        </w:rPr>
        <w:t>(</w:t>
      </w:r>
      <w:r>
        <w:rPr>
          <w:rStyle w:val="StringTok"/>
        </w:rPr>
        <w:t>"GEOID"</w:t>
      </w:r>
      <w:r>
        <w:rPr>
          <w:rStyle w:val="NormalTok"/>
        </w:rPr>
        <w:t>,</w:t>
      </w:r>
      <w:r>
        <w:rPr>
          <w:rStyle w:val="StringTok"/>
        </w:rPr>
        <w:t>"state"</w:t>
      </w:r>
      <w:r>
        <w:rPr>
          <w:rStyle w:val="NormalTok"/>
        </w:rPr>
        <w:t xml:space="preserve">, </w:t>
      </w:r>
      <w:r>
        <w:rPr>
          <w:rStyle w:val="StringTok"/>
        </w:rPr>
        <w:t>"gini"</w:t>
      </w:r>
      <w:r>
        <w:rPr>
          <w:rStyle w:val="NormalTok"/>
        </w:rPr>
        <w:t>),</w:t>
      </w:r>
      <w:r>
        <w:br/>
      </w:r>
      <w:r>
        <w:rPr>
          <w:rStyle w:val="NormalTok"/>
        </w:rPr>
        <w:lastRenderedPageBreak/>
        <w:t xml:space="preserve">              </w:t>
      </w:r>
      <w:r>
        <w:rPr>
          <w:rStyle w:val="DataTypeTok"/>
        </w:rPr>
        <w:t>names_from =</w:t>
      </w:r>
      <w:r>
        <w:rPr>
          <w:rStyle w:val="StringTok"/>
        </w:rPr>
        <w:t>"state"</w:t>
      </w:r>
      <w:r>
        <w:rPr>
          <w:rStyle w:val="NormalTok"/>
        </w:rPr>
        <w:t>,</w:t>
      </w:r>
      <w:r>
        <w:br/>
      </w:r>
      <w:r>
        <w:rPr>
          <w:rStyle w:val="NormalTok"/>
        </w:rPr>
        <w:t xml:space="preserve">              </w:t>
      </w:r>
      <w:r>
        <w:rPr>
          <w:rStyle w:val="DataTypeTok"/>
        </w:rPr>
        <w:t>values_from =</w:t>
      </w:r>
      <w:r>
        <w:rPr>
          <w:rStyle w:val="StringTok"/>
        </w:rPr>
        <w:t>"gini"</w:t>
      </w:r>
      <w:r>
        <w:rPr>
          <w:rStyle w:val="NormalTok"/>
        </w:rPr>
        <w:t>)</w:t>
      </w:r>
    </w:p>
    <w:p w14:paraId="28E8B4F5" w14:textId="77777777" w:rsidR="000B6C49" w:rsidRDefault="0009276C">
      <w:pPr>
        <w:pStyle w:val="SourceCode"/>
      </w:pPr>
      <w:r>
        <w:rPr>
          <w:rStyle w:val="VerbatimChar"/>
        </w:rPr>
        <w:t>## Warning: Values are not uniquely identified; output will contain list-cols.</w:t>
      </w:r>
      <w:r>
        <w:br/>
      </w:r>
      <w:r>
        <w:rPr>
          <w:rStyle w:val="VerbatimChar"/>
        </w:rPr>
        <w:t>## * Use `values_fn = list` to suppress this warning.</w:t>
      </w:r>
      <w:r>
        <w:br/>
      </w:r>
      <w:r>
        <w:rPr>
          <w:rStyle w:val="VerbatimChar"/>
        </w:rPr>
        <w:t>## * U</w:t>
      </w:r>
      <w:r>
        <w:rPr>
          <w:rStyle w:val="VerbatimChar"/>
        </w:rPr>
        <w:t>se `values_fn = length` to identify where the duplicates arise</w:t>
      </w:r>
      <w:r>
        <w:br/>
      </w:r>
      <w:r>
        <w:rPr>
          <w:rStyle w:val="VerbatimChar"/>
        </w:rPr>
        <w:t>## * Use `values_fn = {summary_fun}` to summarise duplicates</w:t>
      </w:r>
    </w:p>
    <w:p w14:paraId="0272F1B3" w14:textId="77777777" w:rsidR="000B6C49" w:rsidRDefault="0009276C">
      <w:pPr>
        <w:pStyle w:val="SourceCode"/>
      </w:pPr>
      <w:r>
        <w:rPr>
          <w:rStyle w:val="KeywordTok"/>
        </w:rPr>
        <w:t>head</w:t>
      </w:r>
      <w:r>
        <w:rPr>
          <w:rStyle w:val="NormalTok"/>
        </w:rPr>
        <w:t>(inequality_wide)</w:t>
      </w:r>
    </w:p>
    <w:p w14:paraId="0EAF1993" w14:textId="77777777" w:rsidR="000B6C49" w:rsidRDefault="0009276C">
      <w:pPr>
        <w:pStyle w:val="SourceCode"/>
      </w:pPr>
      <w:r>
        <w:rPr>
          <w:rStyle w:val="VerbatimChar"/>
        </w:rPr>
        <w:t>## # A tibble: 6 x 53</w:t>
      </w:r>
      <w:r>
        <w:br/>
      </w:r>
      <w:r>
        <w:rPr>
          <w:rStyle w:val="VerbatimChar"/>
        </w:rPr>
        <w:t>##   GEOID Alabama Alaska Arizona Arkansas California Colorado Connecticut Delaware</w:t>
      </w:r>
      <w:r>
        <w:br/>
      </w:r>
      <w:r>
        <w:rPr>
          <w:rStyle w:val="VerbatimChar"/>
        </w:rPr>
        <w:t xml:space="preserve">##   &lt;chr&gt; &lt;list&gt;  &lt;list&gt; &lt;list&gt;  &lt;list&gt;   &lt;list&gt;     &lt;list&gt;   &lt;list&gt;      &lt;list&gt;  </w:t>
      </w:r>
      <w:r>
        <w:br/>
      </w:r>
      <w:r>
        <w:rPr>
          <w:rStyle w:val="VerbatimChar"/>
        </w:rPr>
        <w:t xml:space="preserve">## 1 01    &lt;dbl [~ &lt;NULL&gt; &lt;NULL&gt;  &lt;NULL&gt;   &lt;NULL&gt;     &lt;NULL&gt;   &lt;NULL&gt;      &lt;NULL&gt;  </w:t>
      </w:r>
      <w:r>
        <w:br/>
      </w:r>
      <w:r>
        <w:rPr>
          <w:rStyle w:val="VerbatimChar"/>
        </w:rPr>
        <w:t>## 2</w:t>
      </w:r>
      <w:r>
        <w:rPr>
          <w:rStyle w:val="VerbatimChar"/>
        </w:rPr>
        <w:t xml:space="preserve"> 02    &lt;NULL&gt;  &lt;dbl ~ &lt;NULL&gt;  &lt;NULL&gt;   &lt;NULL&gt;     &lt;NULL&gt;   &lt;NULL&gt;      &lt;NULL&gt;  </w:t>
      </w:r>
      <w:r>
        <w:br/>
      </w:r>
      <w:r>
        <w:rPr>
          <w:rStyle w:val="VerbatimChar"/>
        </w:rPr>
        <w:t xml:space="preserve">## 3 04    &lt;NULL&gt;  &lt;NULL&gt; &lt;dbl [~ &lt;NULL&gt;   &lt;NULL&gt;     &lt;NULL&gt;   &lt;NULL&gt;      &lt;NULL&gt;  </w:t>
      </w:r>
      <w:r>
        <w:br/>
      </w:r>
      <w:r>
        <w:rPr>
          <w:rStyle w:val="VerbatimChar"/>
        </w:rPr>
        <w:t xml:space="preserve">## 4 05    &lt;NULL&gt;  &lt;NULL&gt; &lt;NULL&gt;  &lt;dbl [2~ &lt;NULL&gt;     &lt;NULL&gt;   &lt;NULL&gt;      &lt;NULL&gt;  </w:t>
      </w:r>
      <w:r>
        <w:br/>
      </w:r>
      <w:r>
        <w:rPr>
          <w:rStyle w:val="VerbatimChar"/>
        </w:rPr>
        <w:t xml:space="preserve">## 5 06 </w:t>
      </w:r>
      <w:r>
        <w:rPr>
          <w:rStyle w:val="VerbatimChar"/>
        </w:rPr>
        <w:t xml:space="preserve">   &lt;NULL&gt;  &lt;NULL&gt; &lt;NULL&gt;  &lt;NULL&gt;   &lt;dbl [2]&gt;  &lt;NULL&gt;   &lt;NULL&gt;      &lt;NULL&gt;  </w:t>
      </w:r>
      <w:r>
        <w:br/>
      </w:r>
      <w:r>
        <w:rPr>
          <w:rStyle w:val="VerbatimChar"/>
        </w:rPr>
        <w:t xml:space="preserve">## 6 08    &lt;NULL&gt;  &lt;NULL&gt; &lt;NULL&gt;  &lt;NULL&gt;   &lt;NULL&gt;     &lt;dbl [2~ &lt;NULL&gt;      &lt;NULL&gt;  </w:t>
      </w:r>
      <w:r>
        <w:br/>
      </w:r>
      <w:r>
        <w:rPr>
          <w:rStyle w:val="VerbatimChar"/>
        </w:rPr>
        <w:t>## # ... with 44 more variables: `District of Columbia` &lt;list&gt;, Florida &lt;list&gt;,</w:t>
      </w:r>
      <w:r>
        <w:br/>
      </w:r>
      <w:r>
        <w:rPr>
          <w:rStyle w:val="VerbatimChar"/>
        </w:rPr>
        <w:t>## #   Georgia &lt;</w:t>
      </w:r>
      <w:r>
        <w:rPr>
          <w:rStyle w:val="VerbatimChar"/>
        </w:rPr>
        <w:t>list&gt;, Hawaii &lt;list&gt;, Idaho &lt;list&gt;, Illinois &lt;list&gt;,</w:t>
      </w:r>
      <w:r>
        <w:br/>
      </w:r>
      <w:r>
        <w:rPr>
          <w:rStyle w:val="VerbatimChar"/>
        </w:rPr>
        <w:t>## #   Indiana &lt;list&gt;, Iowa &lt;list&gt;, Kansas &lt;list&gt;, Kentucky &lt;list&gt;,</w:t>
      </w:r>
      <w:r>
        <w:br/>
      </w:r>
      <w:r>
        <w:rPr>
          <w:rStyle w:val="VerbatimChar"/>
        </w:rPr>
        <w:t>## #   Louisiana &lt;list&gt;, Maine &lt;list&gt;, Maryland &lt;list&gt;, Massachusetts &lt;list&gt;,</w:t>
      </w:r>
      <w:r>
        <w:br/>
      </w:r>
      <w:r>
        <w:rPr>
          <w:rStyle w:val="VerbatimChar"/>
        </w:rPr>
        <w:t>## #   Michigan &lt;list&gt;, Minnesota &lt;list&gt;, Mississippi &lt;li</w:t>
      </w:r>
      <w:r>
        <w:rPr>
          <w:rStyle w:val="VerbatimChar"/>
        </w:rPr>
        <w:t>st&gt;, Missouri &lt;list&gt;,</w:t>
      </w:r>
      <w:r>
        <w:br/>
      </w:r>
      <w:r>
        <w:rPr>
          <w:rStyle w:val="VerbatimChar"/>
        </w:rPr>
        <w:t>## #   Montana &lt;list&gt;, Nebraska &lt;list&gt;, Nevada &lt;list&gt;, `New Hampshire` &lt;list&gt;,</w:t>
      </w:r>
      <w:r>
        <w:br/>
      </w:r>
      <w:r>
        <w:rPr>
          <w:rStyle w:val="VerbatimChar"/>
        </w:rPr>
        <w:t>## #   `New Jersey` &lt;list&gt;, `New Mexico` &lt;list&gt;, `New York` &lt;list&gt;, `North</w:t>
      </w:r>
      <w:r>
        <w:br/>
      </w:r>
      <w:r>
        <w:rPr>
          <w:rStyle w:val="VerbatimChar"/>
        </w:rPr>
        <w:t>## #   Carolina` &lt;list&gt;, `North Dakota` &lt;list&gt;, Ohio &lt;list&gt;, Oklahoma &lt;list&gt;,</w:t>
      </w:r>
      <w:r>
        <w:br/>
      </w:r>
      <w:r>
        <w:rPr>
          <w:rStyle w:val="VerbatimChar"/>
        </w:rPr>
        <w:t>##</w:t>
      </w:r>
      <w:r>
        <w:rPr>
          <w:rStyle w:val="VerbatimChar"/>
        </w:rPr>
        <w:t xml:space="preserve"> #   Oregon &lt;list&gt;, Pennsylvania &lt;list&gt;, `Rhode Island` &lt;list&gt;, `South</w:t>
      </w:r>
      <w:r>
        <w:br/>
      </w:r>
      <w:r>
        <w:rPr>
          <w:rStyle w:val="VerbatimChar"/>
        </w:rPr>
        <w:t>## #   Carolina` &lt;list&gt;, `South Dakota` &lt;list&gt;, Tennessee &lt;list&gt;, Texas &lt;list&gt;,</w:t>
      </w:r>
      <w:r>
        <w:br/>
      </w:r>
      <w:r>
        <w:rPr>
          <w:rStyle w:val="VerbatimChar"/>
        </w:rPr>
        <w:t>## #   Utah &lt;list&gt;, Vermont &lt;list&gt;, Virginia &lt;list&gt;, Washington &lt;list&gt;, `West</w:t>
      </w:r>
      <w:r>
        <w:br/>
      </w:r>
      <w:r>
        <w:rPr>
          <w:rStyle w:val="VerbatimChar"/>
        </w:rPr>
        <w:t>## #   Virginia` &lt;list&gt;, Wi</w:t>
      </w:r>
      <w:r>
        <w:rPr>
          <w:rStyle w:val="VerbatimChar"/>
        </w:rPr>
        <w:t>sconsin &lt;list&gt;, Wyoming &lt;list&gt;, `Puerto Rico` &lt;list&gt;</w:t>
      </w:r>
    </w:p>
    <w:p w14:paraId="6E74E30F" w14:textId="77777777" w:rsidR="000B6C49" w:rsidRDefault="0009276C">
      <w:pPr>
        <w:pStyle w:val="Compact"/>
        <w:numPr>
          <w:ilvl w:val="0"/>
          <w:numId w:val="4"/>
        </w:numPr>
      </w:pPr>
      <w:r>
        <w:t>Reshapping back to long</w:t>
      </w:r>
    </w:p>
    <w:p w14:paraId="1537B24F" w14:textId="77777777" w:rsidR="000B6C49" w:rsidRDefault="0009276C">
      <w:pPr>
        <w:pStyle w:val="SourceCode"/>
      </w:pPr>
      <w:r>
        <w:rPr>
          <w:rStyle w:val="NormalTok"/>
        </w:rPr>
        <w:t>inequality_long &lt;-</w:t>
      </w:r>
      <w:r>
        <w:rPr>
          <w:rStyle w:val="StringTok"/>
        </w:rPr>
        <w:t xml:space="preserve"> </w:t>
      </w:r>
      <w:r>
        <w:br/>
      </w:r>
      <w:r>
        <w:rPr>
          <w:rStyle w:val="StringTok"/>
        </w:rPr>
        <w:t xml:space="preserve">  </w:t>
      </w:r>
      <w:r>
        <w:rPr>
          <w:rStyle w:val="NormalTok"/>
        </w:rPr>
        <w:t xml:space="preserve">inequality_wide </w:t>
      </w:r>
      <w:r>
        <w:rPr>
          <w:rStyle w:val="OperatorTok"/>
        </w:rPr>
        <w:t>%&gt;%</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w:t>
      </w:r>
      <w:r>
        <w:rPr>
          <w:rStyle w:val="KeywordTok"/>
        </w:rPr>
        <w:t>starts_with</w:t>
      </w:r>
      <w:r>
        <w:rPr>
          <w:rStyle w:val="NormalTok"/>
        </w:rPr>
        <w:t>(</w:t>
      </w:r>
      <w:r>
        <w:rPr>
          <w:rStyle w:val="StringTok"/>
        </w:rPr>
        <w:t>"GEOID"</w:t>
      </w:r>
      <w:r>
        <w:rPr>
          <w:rStyle w:val="NormalTok"/>
        </w:rPr>
        <w:t>),</w:t>
      </w:r>
      <w:r>
        <w:br/>
      </w:r>
      <w:r>
        <w:rPr>
          <w:rStyle w:val="NormalTok"/>
        </w:rPr>
        <w:lastRenderedPageBreak/>
        <w:t xml:space="preserve">               </w:t>
      </w:r>
      <w:r>
        <w:rPr>
          <w:rStyle w:val="DataTypeTok"/>
        </w:rPr>
        <w:t>names_to =</w:t>
      </w:r>
      <w:r>
        <w:rPr>
          <w:rStyle w:val="NormalTok"/>
        </w:rPr>
        <w:t xml:space="preserve"> </w:t>
      </w:r>
      <w:r>
        <w:rPr>
          <w:rStyle w:val="StringTok"/>
        </w:rPr>
        <w:t>"state"</w:t>
      </w:r>
      <w:r>
        <w:rPr>
          <w:rStyle w:val="NormalTok"/>
        </w:rPr>
        <w:t>,</w:t>
      </w:r>
      <w:r>
        <w:br/>
      </w:r>
      <w:r>
        <w:rPr>
          <w:rStyle w:val="NormalTok"/>
        </w:rPr>
        <w:t xml:space="preserve">               </w:t>
      </w:r>
      <w:r>
        <w:rPr>
          <w:rStyle w:val="DataTypeTok"/>
        </w:rPr>
        <w:t>names_prefix =</w:t>
      </w:r>
      <w:r>
        <w:rPr>
          <w:rStyle w:val="NormalTok"/>
        </w:rPr>
        <w:t xml:space="preserve"> </w:t>
      </w:r>
      <w:r>
        <w:rPr>
          <w:rStyle w:val="StringTok"/>
        </w:rPr>
        <w:t>"state_"</w:t>
      </w:r>
      <w:r>
        <w:rPr>
          <w:rStyle w:val="NormalTok"/>
        </w:rPr>
        <w:t>,</w:t>
      </w:r>
      <w:r>
        <w:br/>
      </w:r>
      <w:r>
        <w:rPr>
          <w:rStyle w:val="NormalTok"/>
        </w:rPr>
        <w:t xml:space="preserve">               </w:t>
      </w:r>
      <w:r>
        <w:rPr>
          <w:rStyle w:val="DataTypeTok"/>
        </w:rPr>
        <w:t>val</w:t>
      </w:r>
      <w:r>
        <w:rPr>
          <w:rStyle w:val="DataTypeTok"/>
        </w:rPr>
        <w:t>ues_to =</w:t>
      </w:r>
      <w:r>
        <w:rPr>
          <w:rStyle w:val="NormalTok"/>
        </w:rPr>
        <w:t xml:space="preserve"> </w:t>
      </w:r>
      <w:r>
        <w:rPr>
          <w:rStyle w:val="StringTok"/>
        </w:rPr>
        <w:t>"gini"</w:t>
      </w:r>
      <w:r>
        <w:rPr>
          <w:rStyle w:val="NormalTok"/>
        </w:rPr>
        <w:t>,</w:t>
      </w:r>
      <w:r>
        <w:br/>
      </w:r>
      <w:r>
        <w:rPr>
          <w:rStyle w:val="NormalTok"/>
        </w:rPr>
        <w:t xml:space="preserve">               </w:t>
      </w:r>
      <w:r>
        <w:rPr>
          <w:rStyle w:val="DataTypeTok"/>
        </w:rPr>
        <w:t>values_drop_na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(gini</w:t>
      </w:r>
      <w:r>
        <w:rPr>
          <w:rStyle w:val="OperatorTok"/>
        </w:rPr>
        <w:t>==</w:t>
      </w:r>
      <w:r>
        <w:rPr>
          <w:rStyle w:val="DecValTok"/>
        </w:rPr>
        <w:t>0</w:t>
      </w:r>
      <w:r>
        <w:rPr>
          <w:rStyle w:val="NormalTok"/>
        </w:rPr>
        <w:t>))</w:t>
      </w:r>
    </w:p>
    <w:p w14:paraId="14C03DEB" w14:textId="77777777" w:rsidR="000B6C49" w:rsidRDefault="0009276C">
      <w:pPr>
        <w:pStyle w:val="Compact"/>
        <w:numPr>
          <w:ilvl w:val="0"/>
          <w:numId w:val="5"/>
        </w:numPr>
      </w:pPr>
      <w:r>
        <w:t>Showing that both sets have same # of observations</w:t>
      </w:r>
    </w:p>
    <w:p w14:paraId="2E142335" w14:textId="77777777" w:rsidR="000B6C49" w:rsidRDefault="0009276C">
      <w:pPr>
        <w:pStyle w:val="SourceCode"/>
      </w:pPr>
      <w:r>
        <w:rPr>
          <w:rStyle w:val="KeywordTok"/>
        </w:rPr>
        <w:t>head</w:t>
      </w:r>
      <w:r>
        <w:rPr>
          <w:rStyle w:val="NormalTok"/>
        </w:rPr>
        <w:t>(inequality_long)</w:t>
      </w:r>
    </w:p>
    <w:p w14:paraId="559782FE" w14:textId="77777777" w:rsidR="000B6C49" w:rsidRDefault="0009276C">
      <w:pPr>
        <w:pStyle w:val="SourceCode"/>
      </w:pPr>
      <w:r>
        <w:rPr>
          <w:rStyle w:val="VerbatimChar"/>
        </w:rPr>
        <w:t>## # A tibble: 6 x 54</w:t>
      </w:r>
      <w:r>
        <w:br/>
      </w:r>
      <w:r>
        <w:rPr>
          <w:rStyle w:val="VerbatimChar"/>
        </w:rPr>
        <w:t>##   Alabama Alaska Arizona Arkansas California Colorado Connecticut Delaware</w:t>
      </w:r>
      <w:r>
        <w:br/>
      </w:r>
      <w:r>
        <w:rPr>
          <w:rStyle w:val="VerbatimChar"/>
        </w:rPr>
        <w:t xml:space="preserve">##   &lt;list&gt;  &lt;list&gt; &lt;list&gt;  &lt;list&gt;   &lt;list&gt;     &lt;list&gt;   &lt;list&gt;      &lt;list&gt;  </w:t>
      </w:r>
      <w:r>
        <w:br/>
      </w:r>
      <w:r>
        <w:rPr>
          <w:rStyle w:val="VerbatimChar"/>
        </w:rPr>
        <w:t xml:space="preserve">## 1 &lt;dbl [~ &lt;NULL&gt; &lt;NULL&gt;  &lt;NULL&gt;   &lt;NULL&gt;     &lt;NULL&gt;   &lt;NULL&gt;      &lt;NULL&gt;  </w:t>
      </w:r>
      <w:r>
        <w:br/>
      </w:r>
      <w:r>
        <w:rPr>
          <w:rStyle w:val="VerbatimChar"/>
        </w:rPr>
        <w:t>## 2 &lt;NULL&gt;  &lt;dbl ~ &lt;N</w:t>
      </w:r>
      <w:r>
        <w:rPr>
          <w:rStyle w:val="VerbatimChar"/>
        </w:rPr>
        <w:t xml:space="preserve">ULL&gt;  &lt;NULL&gt;   &lt;NULL&gt;     &lt;NULL&gt;   &lt;NULL&gt;      &lt;NULL&gt;  </w:t>
      </w:r>
      <w:r>
        <w:br/>
      </w:r>
      <w:r>
        <w:rPr>
          <w:rStyle w:val="VerbatimChar"/>
        </w:rPr>
        <w:t xml:space="preserve">## 3 &lt;NULL&gt;  &lt;NULL&gt; &lt;dbl [~ &lt;NULL&gt;   &lt;NULL&gt;     &lt;NULL&gt;   &lt;NULL&gt;      &lt;NULL&gt;  </w:t>
      </w:r>
      <w:r>
        <w:br/>
      </w:r>
      <w:r>
        <w:rPr>
          <w:rStyle w:val="VerbatimChar"/>
        </w:rPr>
        <w:t xml:space="preserve">## 4 &lt;NULL&gt;  &lt;NULL&gt; &lt;NULL&gt;  &lt;dbl [2~ &lt;NULL&gt;     &lt;NULL&gt;   &lt;NULL&gt;      &lt;NULL&gt;  </w:t>
      </w:r>
      <w:r>
        <w:br/>
      </w:r>
      <w:r>
        <w:rPr>
          <w:rStyle w:val="VerbatimChar"/>
        </w:rPr>
        <w:t>## 5 &lt;NULL&gt;  &lt;NULL&gt; &lt;NULL&gt;  &lt;NULL&gt;   &lt;dbl [2</w:t>
      </w:r>
      <w:r>
        <w:rPr>
          <w:rStyle w:val="VerbatimChar"/>
        </w:rPr>
        <w:t xml:space="preserve">]&gt;  &lt;NULL&gt;   &lt;NULL&gt;      &lt;NULL&gt;  </w:t>
      </w:r>
      <w:r>
        <w:br/>
      </w:r>
      <w:r>
        <w:rPr>
          <w:rStyle w:val="VerbatimChar"/>
        </w:rPr>
        <w:t xml:space="preserve">## 6 &lt;NULL&gt;  &lt;NULL&gt; &lt;NULL&gt;  &lt;NULL&gt;   &lt;NULL&gt;     &lt;dbl [2~ &lt;NULL&gt;      &lt;NULL&gt;  </w:t>
      </w:r>
      <w:r>
        <w:br/>
      </w:r>
      <w:r>
        <w:rPr>
          <w:rStyle w:val="VerbatimChar"/>
        </w:rPr>
        <w:t>## # ... with 46 more variables: `District of Columbia` &lt;list&gt;, Florida &lt;list&gt;,</w:t>
      </w:r>
      <w:r>
        <w:br/>
      </w:r>
      <w:r>
        <w:rPr>
          <w:rStyle w:val="VerbatimChar"/>
        </w:rPr>
        <w:t>## #   Georgia &lt;list&gt;, Hawaii &lt;list&gt;, Idaho &lt;list&gt;, Illinois &lt;li</w:t>
      </w:r>
      <w:r>
        <w:rPr>
          <w:rStyle w:val="VerbatimChar"/>
        </w:rPr>
        <w:t>st&gt;,</w:t>
      </w:r>
      <w:r>
        <w:br/>
      </w:r>
      <w:r>
        <w:rPr>
          <w:rStyle w:val="VerbatimChar"/>
        </w:rPr>
        <w:t>## #   Indiana &lt;list&gt;, Iowa &lt;list&gt;, Kansas &lt;list&gt;, Kentucky &lt;list&gt;,</w:t>
      </w:r>
      <w:r>
        <w:br/>
      </w:r>
      <w:r>
        <w:rPr>
          <w:rStyle w:val="VerbatimChar"/>
        </w:rPr>
        <w:t>## #   Louisiana &lt;list&gt;, Maine &lt;list&gt;, Maryland &lt;list&gt;, Massachusetts &lt;list&gt;,</w:t>
      </w:r>
      <w:r>
        <w:br/>
      </w:r>
      <w:r>
        <w:rPr>
          <w:rStyle w:val="VerbatimChar"/>
        </w:rPr>
        <w:t>## #   Michigan &lt;list&gt;, Minnesota &lt;list&gt;, Mississippi &lt;list&gt;, Missouri &lt;list&gt;,</w:t>
      </w:r>
      <w:r>
        <w:br/>
      </w:r>
      <w:r>
        <w:rPr>
          <w:rStyle w:val="VerbatimChar"/>
        </w:rPr>
        <w:t>## #   Montana &lt;list&gt;, Neb</w:t>
      </w:r>
      <w:r>
        <w:rPr>
          <w:rStyle w:val="VerbatimChar"/>
        </w:rPr>
        <w:t>raska &lt;list&gt;, Nevada &lt;list&gt;, `New Hampshire` &lt;list&gt;,</w:t>
      </w:r>
      <w:r>
        <w:br/>
      </w:r>
      <w:r>
        <w:rPr>
          <w:rStyle w:val="VerbatimChar"/>
        </w:rPr>
        <w:t>## #   `New Jersey` &lt;list&gt;, `New Mexico` &lt;list&gt;, `New York` &lt;list&gt;, `North</w:t>
      </w:r>
      <w:r>
        <w:br/>
      </w:r>
      <w:r>
        <w:rPr>
          <w:rStyle w:val="VerbatimChar"/>
        </w:rPr>
        <w:t>## #   Carolina` &lt;list&gt;, `North Dakota` &lt;list&gt;, Ohio &lt;list&gt;, Oklahoma &lt;list&gt;,</w:t>
      </w:r>
      <w:r>
        <w:br/>
      </w:r>
      <w:r>
        <w:rPr>
          <w:rStyle w:val="VerbatimChar"/>
        </w:rPr>
        <w:t xml:space="preserve">## #   Oregon &lt;list&gt;, Pennsylvania &lt;list&gt;, `Rhode </w:t>
      </w:r>
      <w:r>
        <w:rPr>
          <w:rStyle w:val="VerbatimChar"/>
        </w:rPr>
        <w:t>Island` &lt;list&gt;, `South</w:t>
      </w:r>
      <w:r>
        <w:br/>
      </w:r>
      <w:r>
        <w:rPr>
          <w:rStyle w:val="VerbatimChar"/>
        </w:rPr>
        <w:t>## #   Carolina` &lt;list&gt;, `South Dakota` &lt;list&gt;, Tennessee &lt;list&gt;, Texas &lt;list&gt;,</w:t>
      </w:r>
      <w:r>
        <w:br/>
      </w:r>
      <w:r>
        <w:rPr>
          <w:rStyle w:val="VerbatimChar"/>
        </w:rPr>
        <w:t>## #   Utah &lt;list&gt;, Vermont &lt;list&gt;, Virginia &lt;list&gt;, Washington &lt;list&gt;, `West</w:t>
      </w:r>
      <w:r>
        <w:br/>
      </w:r>
      <w:r>
        <w:rPr>
          <w:rStyle w:val="VerbatimChar"/>
        </w:rPr>
        <w:t>## #   Virginia` &lt;list&gt;, Wisconsin &lt;list&gt;, Wyoming &lt;list&gt;, `Puerto Rico` &lt;l</w:t>
      </w:r>
      <w:r>
        <w:rPr>
          <w:rStyle w:val="VerbatimChar"/>
        </w:rPr>
        <w:t>ist&gt;,</w:t>
      </w:r>
      <w:r>
        <w:br/>
      </w:r>
      <w:r>
        <w:rPr>
          <w:rStyle w:val="VerbatimChar"/>
        </w:rPr>
        <w:t>## #   state &lt;chr&gt;, gini &lt;chr&gt;</w:t>
      </w:r>
    </w:p>
    <w:p w14:paraId="308922D7" w14:textId="77777777" w:rsidR="000B6C49" w:rsidRDefault="0009276C">
      <w:pPr>
        <w:pStyle w:val="SourceCode"/>
      </w:pPr>
      <w:r>
        <w:rPr>
          <w:rStyle w:val="KeywordTok"/>
        </w:rPr>
        <w:t>head</w:t>
      </w:r>
      <w:r>
        <w:rPr>
          <w:rStyle w:val="NormalTok"/>
        </w:rPr>
        <w:t>(inequality_wide)</w:t>
      </w:r>
    </w:p>
    <w:p w14:paraId="180A6069" w14:textId="77777777" w:rsidR="000B6C49" w:rsidRDefault="0009276C">
      <w:pPr>
        <w:pStyle w:val="SourceCode"/>
      </w:pPr>
      <w:r>
        <w:rPr>
          <w:rStyle w:val="VerbatimChar"/>
        </w:rPr>
        <w:t>## # A tibble: 6 x 53</w:t>
      </w:r>
      <w:r>
        <w:br/>
      </w:r>
      <w:r>
        <w:rPr>
          <w:rStyle w:val="VerbatimChar"/>
        </w:rPr>
        <w:t>##   GEOID Alabama Alaska Arizona Arkansas California Colorado Connecticut Delaware</w:t>
      </w:r>
      <w:r>
        <w:br/>
      </w:r>
      <w:r>
        <w:rPr>
          <w:rStyle w:val="VerbatimChar"/>
        </w:rPr>
        <w:t xml:space="preserve">##   &lt;chr&gt; &lt;list&gt;  &lt;list&gt; &lt;list&gt;  &lt;list&gt;   &lt;list&gt;     &lt;list&gt;   &lt;list&gt;      &lt;list&gt;  </w:t>
      </w:r>
      <w:r>
        <w:br/>
      </w:r>
      <w:r>
        <w:rPr>
          <w:rStyle w:val="VerbatimChar"/>
        </w:rPr>
        <w:t>## 1 01</w:t>
      </w:r>
      <w:r>
        <w:rPr>
          <w:rStyle w:val="VerbatimChar"/>
        </w:rPr>
        <w:t xml:space="preserve">    &lt;dbl [~ &lt;NULL&gt; &lt;NULL&gt;  &lt;NULL&gt;   &lt;NULL&gt;     &lt;NULL&gt;   &lt;NULL&gt;      &lt;NULL&gt;  </w:t>
      </w:r>
      <w:r>
        <w:br/>
      </w:r>
      <w:r>
        <w:rPr>
          <w:rStyle w:val="VerbatimChar"/>
        </w:rPr>
        <w:t xml:space="preserve">## 2 02    &lt;NULL&gt;  &lt;dbl ~ &lt;NULL&gt;  &lt;NULL&gt;   &lt;NULL&gt;     &lt;NULL&gt;   &lt;NULL&gt;      &lt;NULL&gt;  </w:t>
      </w:r>
      <w:r>
        <w:br/>
      </w:r>
      <w:r>
        <w:rPr>
          <w:rStyle w:val="VerbatimChar"/>
        </w:rPr>
        <w:t xml:space="preserve">## 3 04    &lt;NULL&gt;  &lt;NULL&gt; &lt;dbl [~ &lt;NULL&gt;   &lt;NULL&gt;     &lt;NULL&gt;   &lt;NULL&gt;      &lt;NULL&gt;  </w:t>
      </w:r>
      <w:r>
        <w:br/>
      </w:r>
      <w:r>
        <w:rPr>
          <w:rStyle w:val="VerbatimChar"/>
        </w:rPr>
        <w:lastRenderedPageBreak/>
        <w:t xml:space="preserve">## 4 05    </w:t>
      </w:r>
      <w:r>
        <w:rPr>
          <w:rStyle w:val="VerbatimChar"/>
        </w:rPr>
        <w:t xml:space="preserve">&lt;NULL&gt;  &lt;NULL&gt; &lt;NULL&gt;  &lt;dbl [2~ &lt;NULL&gt;     &lt;NULL&gt;   &lt;NULL&gt;      &lt;NULL&gt;  </w:t>
      </w:r>
      <w:r>
        <w:br/>
      </w:r>
      <w:r>
        <w:rPr>
          <w:rStyle w:val="VerbatimChar"/>
        </w:rPr>
        <w:t xml:space="preserve">## 5 06    &lt;NULL&gt;  &lt;NULL&gt; &lt;NULL&gt;  &lt;NULL&gt;   &lt;dbl [2]&gt;  &lt;NULL&gt;   &lt;NULL&gt;      &lt;NULL&gt;  </w:t>
      </w:r>
      <w:r>
        <w:br/>
      </w:r>
      <w:r>
        <w:rPr>
          <w:rStyle w:val="VerbatimChar"/>
        </w:rPr>
        <w:t xml:space="preserve">## 6 08    &lt;NULL&gt;  &lt;NULL&gt; &lt;NULL&gt;  &lt;NULL&gt;   &lt;NULL&gt;     &lt;dbl [2~ &lt;NULL&gt;      &lt;NULL&gt;  </w:t>
      </w:r>
      <w:r>
        <w:br/>
      </w:r>
      <w:r>
        <w:rPr>
          <w:rStyle w:val="VerbatimChar"/>
        </w:rPr>
        <w:t>## # ... with 4</w:t>
      </w:r>
      <w:r>
        <w:rPr>
          <w:rStyle w:val="VerbatimChar"/>
        </w:rPr>
        <w:t>4 more variables: `District of Columbia` &lt;list&gt;, Florida &lt;list&gt;,</w:t>
      </w:r>
      <w:r>
        <w:br/>
      </w:r>
      <w:r>
        <w:rPr>
          <w:rStyle w:val="VerbatimChar"/>
        </w:rPr>
        <w:t>## #   Georgia &lt;list&gt;, Hawaii &lt;list&gt;, Idaho &lt;list&gt;, Illinois &lt;list&gt;,</w:t>
      </w:r>
      <w:r>
        <w:br/>
      </w:r>
      <w:r>
        <w:rPr>
          <w:rStyle w:val="VerbatimChar"/>
        </w:rPr>
        <w:t>## #   Indiana &lt;list&gt;, Iowa &lt;list&gt;, Kansas &lt;list&gt;, Kentucky &lt;list&gt;,</w:t>
      </w:r>
      <w:r>
        <w:br/>
      </w:r>
      <w:r>
        <w:rPr>
          <w:rStyle w:val="VerbatimChar"/>
        </w:rPr>
        <w:t>## #   Louisiana &lt;list&gt;, Maine &lt;list&gt;, Maryland &lt;list&gt;</w:t>
      </w:r>
      <w:r>
        <w:rPr>
          <w:rStyle w:val="VerbatimChar"/>
        </w:rPr>
        <w:t>, Massachusetts &lt;list&gt;,</w:t>
      </w:r>
      <w:r>
        <w:br/>
      </w:r>
      <w:r>
        <w:rPr>
          <w:rStyle w:val="VerbatimChar"/>
        </w:rPr>
        <w:t>## #   Michigan &lt;list&gt;, Minnesota &lt;list&gt;, Mississippi &lt;list&gt;, Missouri &lt;list&gt;,</w:t>
      </w:r>
      <w:r>
        <w:br/>
      </w:r>
      <w:r>
        <w:rPr>
          <w:rStyle w:val="VerbatimChar"/>
        </w:rPr>
        <w:t>## #   Montana &lt;list&gt;, Nebraska &lt;list&gt;, Nevada &lt;list&gt;, `New Hampshire` &lt;list&gt;,</w:t>
      </w:r>
      <w:r>
        <w:br/>
      </w:r>
      <w:r>
        <w:rPr>
          <w:rStyle w:val="VerbatimChar"/>
        </w:rPr>
        <w:t>## #   `New Jersey` &lt;list&gt;, `New Mexico` &lt;list&gt;, `New York` &lt;list&gt;, `North</w:t>
      </w:r>
      <w:r>
        <w:br/>
      </w:r>
      <w:r>
        <w:rPr>
          <w:rStyle w:val="VerbatimChar"/>
        </w:rPr>
        <w:t>## #   Carolina` &lt;list&gt;, `North Dakota` &lt;list&gt;, Ohio &lt;list&gt;, Oklahoma &lt;list&gt;,</w:t>
      </w:r>
      <w:r>
        <w:br/>
      </w:r>
      <w:r>
        <w:rPr>
          <w:rStyle w:val="VerbatimChar"/>
        </w:rPr>
        <w:t>## #   Oregon &lt;list&gt;, Pennsylvania &lt;list&gt;, `Rhode Island` &lt;list&gt;, `South</w:t>
      </w:r>
      <w:r>
        <w:br/>
      </w:r>
      <w:r>
        <w:rPr>
          <w:rStyle w:val="VerbatimChar"/>
        </w:rPr>
        <w:t>## #   Carolina` &lt;list&gt;, `South Dakota` &lt;list&gt;, Tennessee &lt;list&gt;, Texas &lt;list&gt;,</w:t>
      </w:r>
      <w:r>
        <w:br/>
      </w:r>
      <w:r>
        <w:rPr>
          <w:rStyle w:val="VerbatimChar"/>
        </w:rPr>
        <w:t>## #   Utah &lt;list&gt;, Vermont &lt;list&gt;, Virginia &lt;list&gt;, Washington &lt;list&gt;, `West</w:t>
      </w:r>
      <w:r>
        <w:br/>
      </w:r>
      <w:r>
        <w:rPr>
          <w:rStyle w:val="VerbatimChar"/>
        </w:rPr>
        <w:t>## #   Virginia` &lt;list&gt;, Wisconsin &lt;list&gt;, Wyoming &lt;list&gt;, `Puerto Rico` &lt;list&gt;</w:t>
      </w:r>
    </w:p>
    <w:p w14:paraId="61214880" w14:textId="77777777" w:rsidR="000B6C49" w:rsidRDefault="0009276C">
      <w:pPr>
        <w:pStyle w:val="SourceCode"/>
      </w:pPr>
      <w:r>
        <w:rPr>
          <w:rStyle w:val="NormalTok"/>
        </w:rPr>
        <w:t>inequality_long</w:t>
      </w:r>
    </w:p>
    <w:p w14:paraId="54E744B8" w14:textId="77777777" w:rsidR="000B6C49" w:rsidRDefault="0009276C">
      <w:pPr>
        <w:pStyle w:val="SourceCode"/>
      </w:pPr>
      <w:r>
        <w:rPr>
          <w:rStyle w:val="VerbatimChar"/>
        </w:rPr>
        <w:t>## # A tibble: 52 x 54</w:t>
      </w:r>
      <w:r>
        <w:br/>
      </w:r>
      <w:r>
        <w:rPr>
          <w:rStyle w:val="VerbatimChar"/>
        </w:rPr>
        <w:t>##    Alabama Alaska Arizona Arkansas California Colorado C</w:t>
      </w:r>
      <w:r>
        <w:rPr>
          <w:rStyle w:val="VerbatimChar"/>
        </w:rPr>
        <w:t>onnecticut Delaware</w:t>
      </w:r>
      <w:r>
        <w:br/>
      </w:r>
      <w:r>
        <w:rPr>
          <w:rStyle w:val="VerbatimChar"/>
        </w:rPr>
        <w:t xml:space="preserve">##    &lt;list&gt;  &lt;list&gt; &lt;list&gt;  &lt;list&gt;   &lt;list&gt;     &lt;list&gt;   &lt;list&gt;      &lt;list&gt;  </w:t>
      </w:r>
      <w:r>
        <w:br/>
      </w:r>
      <w:r>
        <w:rPr>
          <w:rStyle w:val="VerbatimChar"/>
        </w:rPr>
        <w:t xml:space="preserve">##  1 &lt;dbl [~ &lt;NULL&gt; &lt;NULL&gt;  &lt;NULL&gt;   &lt;NULL&gt;     &lt;NULL&gt;   &lt;NULL&gt;      &lt;NULL&gt;  </w:t>
      </w:r>
      <w:r>
        <w:br/>
      </w:r>
      <w:r>
        <w:rPr>
          <w:rStyle w:val="VerbatimChar"/>
        </w:rPr>
        <w:t xml:space="preserve">##  2 &lt;NULL&gt;  &lt;dbl ~ &lt;NULL&gt;  &lt;NULL&gt;   &lt;NULL&gt;     &lt;NULL&gt;   &lt;NULL&gt;      &lt;NULL&gt;  </w:t>
      </w:r>
      <w:r>
        <w:br/>
      </w:r>
      <w:r>
        <w:rPr>
          <w:rStyle w:val="VerbatimChar"/>
        </w:rPr>
        <w:t xml:space="preserve">##  3 &lt;NULL&gt;  &lt;NULL&gt; &lt;dbl [~ &lt;NULL&gt;   &lt;NULL&gt;     &lt;NULL&gt;   &lt;NULL&gt;      &lt;NULL&gt;  </w:t>
      </w:r>
      <w:r>
        <w:br/>
      </w:r>
      <w:r>
        <w:rPr>
          <w:rStyle w:val="VerbatimChar"/>
        </w:rPr>
        <w:t xml:space="preserve">##  4 &lt;NULL&gt;  &lt;NULL&gt; &lt;NULL&gt;  &lt;dbl [2~ &lt;NULL&gt;     &lt;NULL&gt;   &lt;NULL&gt;      &lt;NULL&gt;  </w:t>
      </w:r>
      <w:r>
        <w:br/>
      </w:r>
      <w:r>
        <w:rPr>
          <w:rStyle w:val="VerbatimChar"/>
        </w:rPr>
        <w:t xml:space="preserve">##  5 &lt;NULL&gt;  &lt;NULL&gt; &lt;NULL&gt;  &lt;NULL&gt;   &lt;dbl [2]&gt;  &lt;NULL&gt;   &lt;NULL&gt;      &lt;NULL&gt;  </w:t>
      </w:r>
      <w:r>
        <w:br/>
      </w:r>
      <w:r>
        <w:rPr>
          <w:rStyle w:val="VerbatimChar"/>
        </w:rPr>
        <w:t>##  6 &lt;NULL&gt;  &lt;NUL</w:t>
      </w:r>
      <w:r>
        <w:rPr>
          <w:rStyle w:val="VerbatimChar"/>
        </w:rPr>
        <w:t xml:space="preserve">L&gt; &lt;NULL&gt;  &lt;NULL&gt;   &lt;NULL&gt;     &lt;dbl [2~ &lt;NULL&gt;      &lt;NULL&gt;  </w:t>
      </w:r>
      <w:r>
        <w:br/>
      </w:r>
      <w:r>
        <w:rPr>
          <w:rStyle w:val="VerbatimChar"/>
        </w:rPr>
        <w:t xml:space="preserve">##  7 &lt;NULL&gt;  &lt;NULL&gt; &lt;NULL&gt;  &lt;NULL&gt;   &lt;NULL&gt;     &lt;NULL&gt;   &lt;dbl [2]&gt;   &lt;NULL&gt;  </w:t>
      </w:r>
      <w:r>
        <w:br/>
      </w:r>
      <w:r>
        <w:rPr>
          <w:rStyle w:val="VerbatimChar"/>
        </w:rPr>
        <w:t>##  8 &lt;NULL&gt;  &lt;NULL&gt; &lt;NULL&gt;  &lt;NULL&gt;   &lt;NULL&gt;     &lt;NULL&gt;   &lt;NULL&gt;      &lt;dbl [2~</w:t>
      </w:r>
      <w:r>
        <w:br/>
      </w:r>
      <w:r>
        <w:rPr>
          <w:rStyle w:val="VerbatimChar"/>
        </w:rPr>
        <w:t xml:space="preserve">##  9 &lt;NULL&gt;  &lt;NULL&gt; &lt;NULL&gt;  &lt;NULL&gt;  </w:t>
      </w:r>
      <w:r>
        <w:rPr>
          <w:rStyle w:val="VerbatimChar"/>
        </w:rPr>
        <w:t xml:space="preserve"> &lt;NULL&gt;     &lt;NULL&gt;   &lt;NULL&gt;      &lt;NULL&gt;  </w:t>
      </w:r>
      <w:r>
        <w:br/>
      </w:r>
      <w:r>
        <w:rPr>
          <w:rStyle w:val="VerbatimChar"/>
        </w:rPr>
        <w:t xml:space="preserve">## 10 &lt;NULL&gt;  &lt;NULL&gt; &lt;NULL&gt;  &lt;NULL&gt;   &lt;NULL&gt;     &lt;NULL&gt;   &lt;NULL&gt;      &lt;NULL&gt;  </w:t>
      </w:r>
      <w:r>
        <w:br/>
      </w:r>
      <w:r>
        <w:rPr>
          <w:rStyle w:val="VerbatimChar"/>
        </w:rPr>
        <w:t>## # ... with 42 more rows, and 46 more variables: `District of Columbia` &lt;list&gt;,</w:t>
      </w:r>
      <w:r>
        <w:br/>
      </w:r>
      <w:r>
        <w:rPr>
          <w:rStyle w:val="VerbatimChar"/>
        </w:rPr>
        <w:t>## #   Florida &lt;list&gt;, Georgia &lt;list&gt;, Hawaii &lt;list&gt;,</w:t>
      </w:r>
      <w:r>
        <w:rPr>
          <w:rStyle w:val="VerbatimChar"/>
        </w:rPr>
        <w:t xml:space="preserve"> Idaho &lt;list&gt;,</w:t>
      </w:r>
      <w:r>
        <w:br/>
      </w:r>
      <w:r>
        <w:rPr>
          <w:rStyle w:val="VerbatimChar"/>
        </w:rPr>
        <w:t>## #   Illinois &lt;list&gt;, Indiana &lt;list&gt;, Iowa &lt;list&gt;, Kansas &lt;list&gt;,</w:t>
      </w:r>
      <w:r>
        <w:br/>
      </w:r>
      <w:r>
        <w:rPr>
          <w:rStyle w:val="VerbatimChar"/>
        </w:rPr>
        <w:t>## #   Kentucky &lt;list&gt;, Louisiana &lt;list&gt;, Maine &lt;list&gt;, Maryland &lt;list&gt;,</w:t>
      </w:r>
      <w:r>
        <w:br/>
      </w:r>
      <w:r>
        <w:rPr>
          <w:rStyle w:val="VerbatimChar"/>
        </w:rPr>
        <w:t>## #   Massachusetts &lt;list&gt;, Michigan &lt;list&gt;, Minnesota &lt;list&gt;,</w:t>
      </w:r>
      <w:r>
        <w:br/>
      </w:r>
      <w:r>
        <w:rPr>
          <w:rStyle w:val="VerbatimChar"/>
        </w:rPr>
        <w:t xml:space="preserve">## #   Mississippi &lt;list&gt;, Missouri </w:t>
      </w:r>
      <w:r>
        <w:rPr>
          <w:rStyle w:val="VerbatimChar"/>
        </w:rPr>
        <w:t>&lt;list&gt;, Montana &lt;list&gt;, Nebraska &lt;list&gt;,</w:t>
      </w:r>
      <w:r>
        <w:br/>
      </w:r>
      <w:r>
        <w:rPr>
          <w:rStyle w:val="VerbatimChar"/>
        </w:rPr>
        <w:t>## #   Nevada &lt;list&gt;, `New Hampshire` &lt;list&gt;, `New Jersey` &lt;list&gt;, `New</w:t>
      </w:r>
      <w:r>
        <w:br/>
      </w:r>
      <w:r>
        <w:rPr>
          <w:rStyle w:val="VerbatimChar"/>
        </w:rPr>
        <w:t>## #   Mexico` &lt;list&gt;, `New York` &lt;list&gt;, `North Carolina` &lt;list&gt;, `North</w:t>
      </w:r>
      <w:r>
        <w:br/>
      </w:r>
      <w:r>
        <w:rPr>
          <w:rStyle w:val="VerbatimChar"/>
        </w:rPr>
        <w:lastRenderedPageBreak/>
        <w:t>## #   Dakota` &lt;list&gt;, Ohio &lt;list&gt;, Oklahoma &lt;list&gt;, Oregon &lt;list&gt;,</w:t>
      </w:r>
      <w:r>
        <w:br/>
      </w:r>
      <w:r>
        <w:rPr>
          <w:rStyle w:val="VerbatimChar"/>
        </w:rPr>
        <w:t>#</w:t>
      </w:r>
      <w:r>
        <w:rPr>
          <w:rStyle w:val="VerbatimChar"/>
        </w:rPr>
        <w:t># #   Pennsylvania &lt;list&gt;, `Rhode Island` &lt;list&gt;, `South Carolina` &lt;list&gt;, `South</w:t>
      </w:r>
      <w:r>
        <w:br/>
      </w:r>
      <w:r>
        <w:rPr>
          <w:rStyle w:val="VerbatimChar"/>
        </w:rPr>
        <w:t>## #   Dakota` &lt;list&gt;, Tennessee &lt;list&gt;, Texas &lt;list&gt;, Utah &lt;list&gt;,</w:t>
      </w:r>
      <w:r>
        <w:br/>
      </w:r>
      <w:r>
        <w:rPr>
          <w:rStyle w:val="VerbatimChar"/>
        </w:rPr>
        <w:t>## #   Vermont &lt;list&gt;, Virginia &lt;list&gt;, Washington &lt;list&gt;, `West Virginia` &lt;list&gt;,</w:t>
      </w:r>
      <w:r>
        <w:br/>
      </w:r>
      <w:r>
        <w:rPr>
          <w:rStyle w:val="VerbatimChar"/>
        </w:rPr>
        <w:t>## #   Wisconsin &lt;list&gt;</w:t>
      </w:r>
      <w:r>
        <w:rPr>
          <w:rStyle w:val="VerbatimChar"/>
        </w:rPr>
        <w:t>, Wyoming &lt;list&gt;, `Puerto Rico` &lt;list&gt;, state &lt;chr&gt;,</w:t>
      </w:r>
      <w:r>
        <w:br/>
      </w:r>
      <w:r>
        <w:rPr>
          <w:rStyle w:val="VerbatimChar"/>
        </w:rPr>
        <w:t>## #   gini &lt;chr&gt;</w:t>
      </w:r>
    </w:p>
    <w:p w14:paraId="4744281A" w14:textId="77777777" w:rsidR="000B6C49" w:rsidRDefault="0009276C">
      <w:pPr>
        <w:pStyle w:val="SourceCode"/>
      </w:pPr>
      <w:r>
        <w:rPr>
          <w:rStyle w:val="NormalTok"/>
        </w:rPr>
        <w:t>inequality_wide</w:t>
      </w:r>
    </w:p>
    <w:p w14:paraId="1CC33E72" w14:textId="77777777" w:rsidR="000B6C49" w:rsidRDefault="0009276C">
      <w:pPr>
        <w:pStyle w:val="SourceCode"/>
      </w:pPr>
      <w:r>
        <w:rPr>
          <w:rStyle w:val="VerbatimChar"/>
        </w:rPr>
        <w:t>## # A tibble: 52 x 53</w:t>
      </w:r>
      <w:r>
        <w:br/>
      </w:r>
      <w:r>
        <w:rPr>
          <w:rStyle w:val="VerbatimChar"/>
        </w:rPr>
        <w:t>##    GEOID Alabama Alaska Arizona Arkansas California Colorado Connecticut</w:t>
      </w:r>
      <w:r>
        <w:br/>
      </w:r>
      <w:r>
        <w:rPr>
          <w:rStyle w:val="VerbatimChar"/>
        </w:rPr>
        <w:t>##    &lt;chr&gt; &lt;list&gt;  &lt;list&gt; &lt;list&gt;  &lt;list&gt;   &lt;list&gt;     &lt;list&gt;   &lt;list&gt;</w:t>
      </w:r>
      <w:r>
        <w:rPr>
          <w:rStyle w:val="VerbatimChar"/>
        </w:rPr>
        <w:t xml:space="preserve">     </w:t>
      </w:r>
      <w:r>
        <w:br/>
      </w:r>
      <w:r>
        <w:rPr>
          <w:rStyle w:val="VerbatimChar"/>
        </w:rPr>
        <w:t xml:space="preserve">##  1 01    &lt;dbl [~ &lt;NULL&gt; &lt;NULL&gt;  &lt;NULL&gt;   &lt;NULL&gt;     &lt;NULL&gt;   &lt;NULL&gt;     </w:t>
      </w:r>
      <w:r>
        <w:br/>
      </w:r>
      <w:r>
        <w:rPr>
          <w:rStyle w:val="VerbatimChar"/>
        </w:rPr>
        <w:t xml:space="preserve">##  2 02    &lt;NULL&gt;  &lt;dbl ~ &lt;NULL&gt;  &lt;NULL&gt;   &lt;NULL&gt;     &lt;NULL&gt;   &lt;NULL&gt;     </w:t>
      </w:r>
      <w:r>
        <w:br/>
      </w:r>
      <w:r>
        <w:rPr>
          <w:rStyle w:val="VerbatimChar"/>
        </w:rPr>
        <w:t xml:space="preserve">##  3 04    &lt;NULL&gt;  &lt;NULL&gt; &lt;dbl [~ &lt;NULL&gt;   &lt;NULL&gt;     &lt;NULL&gt;   &lt;NULL&gt;     </w:t>
      </w:r>
      <w:r>
        <w:br/>
      </w:r>
      <w:r>
        <w:rPr>
          <w:rStyle w:val="VerbatimChar"/>
        </w:rPr>
        <w:t>##  4 05    &lt;NULL&gt;  &lt;N</w:t>
      </w:r>
      <w:r>
        <w:rPr>
          <w:rStyle w:val="VerbatimChar"/>
        </w:rPr>
        <w:t xml:space="preserve">ULL&gt; &lt;NULL&gt;  &lt;dbl [2~ &lt;NULL&gt;     &lt;NULL&gt;   &lt;NULL&gt;     </w:t>
      </w:r>
      <w:r>
        <w:br/>
      </w:r>
      <w:r>
        <w:rPr>
          <w:rStyle w:val="VerbatimChar"/>
        </w:rPr>
        <w:t xml:space="preserve">##  5 06    &lt;NULL&gt;  &lt;NULL&gt; &lt;NULL&gt;  &lt;NULL&gt;   &lt;dbl [2]&gt;  &lt;NULL&gt;   &lt;NULL&gt;     </w:t>
      </w:r>
      <w:r>
        <w:br/>
      </w:r>
      <w:r>
        <w:rPr>
          <w:rStyle w:val="VerbatimChar"/>
        </w:rPr>
        <w:t xml:space="preserve">##  6 08    &lt;NULL&gt;  &lt;NULL&gt; &lt;NULL&gt;  &lt;NULL&gt;   &lt;NULL&gt;     &lt;dbl [2~ &lt;NULL&gt;     </w:t>
      </w:r>
      <w:r>
        <w:br/>
      </w:r>
      <w:r>
        <w:rPr>
          <w:rStyle w:val="VerbatimChar"/>
        </w:rPr>
        <w:t>##  7 09    &lt;NULL&gt;  &lt;NULL&gt; &lt;NULL&gt;  &lt;NULL&gt;   &lt;NULL&gt;</w:t>
      </w:r>
      <w:r>
        <w:rPr>
          <w:rStyle w:val="VerbatimChar"/>
        </w:rPr>
        <w:t xml:space="preserve">     &lt;NULL&gt;   &lt;dbl [2]&gt;  </w:t>
      </w:r>
      <w:r>
        <w:br/>
      </w:r>
      <w:r>
        <w:rPr>
          <w:rStyle w:val="VerbatimChar"/>
        </w:rPr>
        <w:t xml:space="preserve">##  8 10    &lt;NULL&gt;  &lt;NULL&gt; &lt;NULL&gt;  &lt;NULL&gt;   &lt;NULL&gt;     &lt;NULL&gt;   &lt;NULL&gt;     </w:t>
      </w:r>
      <w:r>
        <w:br/>
      </w:r>
      <w:r>
        <w:rPr>
          <w:rStyle w:val="VerbatimChar"/>
        </w:rPr>
        <w:t xml:space="preserve">##  9 11    &lt;NULL&gt;  &lt;NULL&gt; &lt;NULL&gt;  &lt;NULL&gt;   &lt;NULL&gt;     &lt;NULL&gt;   &lt;NULL&gt;     </w:t>
      </w:r>
      <w:r>
        <w:br/>
      </w:r>
      <w:r>
        <w:rPr>
          <w:rStyle w:val="VerbatimChar"/>
        </w:rPr>
        <w:t xml:space="preserve">## 10 12    &lt;NULL&gt;  &lt;NULL&gt; &lt;NULL&gt;  &lt;NULL&gt;   &lt;NULL&gt;     &lt;NULL&gt;   &lt;NULL&gt;     </w:t>
      </w:r>
      <w:r>
        <w:br/>
      </w:r>
      <w:r>
        <w:rPr>
          <w:rStyle w:val="VerbatimChar"/>
        </w:rPr>
        <w:t>##</w:t>
      </w:r>
      <w:r>
        <w:rPr>
          <w:rStyle w:val="VerbatimChar"/>
        </w:rPr>
        <w:t xml:space="preserve"> # ... with 42 more rows, and 45 more variables: Delaware &lt;list&gt;, `District of</w:t>
      </w:r>
      <w:r>
        <w:br/>
      </w:r>
      <w:r>
        <w:rPr>
          <w:rStyle w:val="VerbatimChar"/>
        </w:rPr>
        <w:t>## #   Columbia` &lt;list&gt;, Florida &lt;list&gt;, Georgia &lt;list&gt;, Hawaii &lt;list&gt;,</w:t>
      </w:r>
      <w:r>
        <w:br/>
      </w:r>
      <w:r>
        <w:rPr>
          <w:rStyle w:val="VerbatimChar"/>
        </w:rPr>
        <w:t>## #   Idaho &lt;list&gt;, Illinois &lt;list&gt;, Indiana &lt;list&gt;, Iowa &lt;list&gt;, Kansas &lt;list&gt;,</w:t>
      </w:r>
      <w:r>
        <w:br/>
      </w:r>
      <w:r>
        <w:rPr>
          <w:rStyle w:val="VerbatimChar"/>
        </w:rPr>
        <w:t>## #   Kentucky &lt;list&gt;,</w:t>
      </w:r>
      <w:r>
        <w:rPr>
          <w:rStyle w:val="VerbatimChar"/>
        </w:rPr>
        <w:t xml:space="preserve"> Louisiana &lt;list&gt;, Maine &lt;list&gt;, Maryland &lt;list&gt;,</w:t>
      </w:r>
      <w:r>
        <w:br/>
      </w:r>
      <w:r>
        <w:rPr>
          <w:rStyle w:val="VerbatimChar"/>
        </w:rPr>
        <w:t>## #   Massachusetts &lt;list&gt;, Michigan &lt;list&gt;, Minnesota &lt;list&gt;,</w:t>
      </w:r>
      <w:r>
        <w:br/>
      </w:r>
      <w:r>
        <w:rPr>
          <w:rStyle w:val="VerbatimChar"/>
        </w:rPr>
        <w:t>## #   Mississippi &lt;list&gt;, Missouri &lt;list&gt;, Montana &lt;list&gt;, Nebraska &lt;list&gt;,</w:t>
      </w:r>
      <w:r>
        <w:br/>
      </w:r>
      <w:r>
        <w:rPr>
          <w:rStyle w:val="VerbatimChar"/>
        </w:rPr>
        <w:t>## #   Nevada &lt;list&gt;, `New Hampshire` &lt;list&gt;, `New Jersey` &lt;list&gt;, `New</w:t>
      </w:r>
      <w:r>
        <w:br/>
      </w:r>
      <w:r>
        <w:rPr>
          <w:rStyle w:val="VerbatimChar"/>
        </w:rPr>
        <w:t>## #   Mexico` &lt;list&gt;, `New York` &lt;list&gt;, `North Carolina` &lt;list&gt;, `North</w:t>
      </w:r>
      <w:r>
        <w:br/>
      </w:r>
      <w:r>
        <w:rPr>
          <w:rStyle w:val="VerbatimChar"/>
        </w:rPr>
        <w:t>## #   Dakota` &lt;list&gt;, Ohio &lt;list</w:t>
      </w:r>
      <w:r>
        <w:rPr>
          <w:rStyle w:val="VerbatimChar"/>
        </w:rPr>
        <w:t>&gt;, Oklahoma &lt;list&gt;, Oregon &lt;list&gt;,</w:t>
      </w:r>
      <w:r>
        <w:br/>
      </w:r>
      <w:r>
        <w:rPr>
          <w:rStyle w:val="VerbatimChar"/>
        </w:rPr>
        <w:t>## #   Pennsylvania &lt;list&gt;, `Rhode Island` &lt;list&gt;, `South Carolina` &lt;list&gt;, `South</w:t>
      </w:r>
      <w:r>
        <w:br/>
      </w:r>
      <w:r>
        <w:rPr>
          <w:rStyle w:val="VerbatimChar"/>
        </w:rPr>
        <w:t>## #   Dakota` &lt;list&gt;, Tennessee &lt;list&gt;, Texas &lt;list&gt;, Utah &lt;list&gt;,</w:t>
      </w:r>
      <w:r>
        <w:br/>
      </w:r>
      <w:r>
        <w:rPr>
          <w:rStyle w:val="VerbatimChar"/>
        </w:rPr>
        <w:t>## #   Vermont &lt;list&gt;, Virginia &lt;list&gt;, Washington &lt;list&gt;, `West Virgi</w:t>
      </w:r>
      <w:r>
        <w:rPr>
          <w:rStyle w:val="VerbatimChar"/>
        </w:rPr>
        <w:t>nia` &lt;list&gt;,</w:t>
      </w:r>
      <w:r>
        <w:br/>
      </w:r>
      <w:r>
        <w:rPr>
          <w:rStyle w:val="VerbatimChar"/>
        </w:rPr>
        <w:t>## #   Wisconsin &lt;list&gt;, Wyoming &lt;list&gt;, `Puerto Rico` &lt;list&gt;</w:t>
      </w:r>
    </w:p>
    <w:p w14:paraId="093F5C75" w14:textId="77777777" w:rsidR="000B6C49" w:rsidRDefault="0009276C">
      <w:pPr>
        <w:pStyle w:val="Compact"/>
        <w:numPr>
          <w:ilvl w:val="0"/>
          <w:numId w:val="6"/>
        </w:numPr>
      </w:pPr>
      <w:r>
        <w:t>Collapsing the inequality_long data frame</w:t>
      </w:r>
    </w:p>
    <w:p w14:paraId="5ECA9B17" w14:textId="77777777" w:rsidR="000B6C49" w:rsidRDefault="0009276C">
      <w:pPr>
        <w:pStyle w:val="SourceCode"/>
      </w:pPr>
      <w:r>
        <w:rPr>
          <w:rStyle w:val="NormalTok"/>
        </w:rPr>
        <w:t>inequality_collapsed &lt;-</w:t>
      </w:r>
      <w:r>
        <w:rPr>
          <w:rStyle w:val="StringTok"/>
        </w:rPr>
        <w:t xml:space="preserve"> </w:t>
      </w:r>
      <w:r>
        <w:br/>
      </w:r>
      <w:r>
        <w:rPr>
          <w:rStyle w:val="StringTok"/>
        </w:rPr>
        <w:t xml:space="preserve">  </w:t>
      </w:r>
      <w:r>
        <w:rPr>
          <w:rStyle w:val="NormalTok"/>
        </w:rPr>
        <w:t xml:space="preserve">inequality_long </w:t>
      </w:r>
      <w:r>
        <w:rPr>
          <w:rStyle w:val="OperatorTok"/>
        </w:rPr>
        <w:t>%&gt;%</w:t>
      </w:r>
      <w:r>
        <w:br/>
      </w:r>
      <w:r>
        <w:rPr>
          <w:rStyle w:val="StringTok"/>
        </w:rPr>
        <w:t xml:space="preserve">  </w:t>
      </w:r>
      <w:r>
        <w:rPr>
          <w:rStyle w:val="KeywordTok"/>
        </w:rPr>
        <w:t>group_by</w:t>
      </w:r>
      <w:r>
        <w:rPr>
          <w:rStyle w:val="NormalTok"/>
        </w:rPr>
        <w:t xml:space="preserve">(state,year,GEOID,) </w:t>
      </w:r>
      <w:r>
        <w:rPr>
          <w:rStyle w:val="OperatorTok"/>
        </w:rPr>
        <w:t>%&gt;%</w:t>
      </w:r>
      <w:r>
        <w:br/>
      </w:r>
      <w:r>
        <w:rPr>
          <w:rStyle w:val="StringTok"/>
        </w:rPr>
        <w:t xml:space="preserve">  </w:t>
      </w:r>
      <w:r>
        <w:rPr>
          <w:rStyle w:val="KeywordTok"/>
        </w:rPr>
        <w:t>summarize</w:t>
      </w:r>
      <w:r>
        <w:rPr>
          <w:rStyle w:val="NormalTok"/>
        </w:rPr>
        <w:t>(</w:t>
      </w:r>
      <w:r>
        <w:rPr>
          <w:rStyle w:val="KeywordTok"/>
        </w:rPr>
        <w:t>across</w:t>
      </w:r>
      <w:r>
        <w:rPr>
          <w:rStyle w:val="NormalTok"/>
        </w:rPr>
        <w:t>(</w:t>
      </w:r>
      <w:r>
        <w:rPr>
          <w:rStyle w:val="KeywordTok"/>
        </w:rPr>
        <w:t>where</w:t>
      </w:r>
      <w:r>
        <w:rPr>
          <w:rStyle w:val="NormalTok"/>
        </w:rPr>
        <w:t xml:space="preserve">(is.numeric), sum))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r>
        <w:rPr>
          <w:rStyle w:val="StringTok"/>
        </w:rPr>
        <w:t>"moe"</w:t>
      </w:r>
      <w:r>
        <w:rPr>
          <w:rStyle w:val="NormalTok"/>
        </w:rPr>
        <w:t>))</w:t>
      </w:r>
    </w:p>
    <w:p w14:paraId="1DACB01A" w14:textId="77777777" w:rsidR="000B6C49" w:rsidRDefault="0009276C">
      <w:pPr>
        <w:pStyle w:val="SourceCode"/>
      </w:pPr>
      <w:r>
        <w:rPr>
          <w:rStyle w:val="VerbatimChar"/>
        </w:rPr>
        <w:lastRenderedPageBreak/>
        <w:t>## Error: Must group by variables found in `.data`.</w:t>
      </w:r>
      <w:r>
        <w:br/>
      </w:r>
      <w:r>
        <w:rPr>
          <w:rStyle w:val="VerbatimChar"/>
        </w:rPr>
        <w:t>## * Column `year` is not found.</w:t>
      </w:r>
      <w:r>
        <w:br/>
      </w:r>
      <w:r>
        <w:rPr>
          <w:rStyle w:val="VerbatimChar"/>
        </w:rPr>
        <w:t>## * Column `GEOID` is not found.</w:t>
      </w:r>
    </w:p>
    <w:p w14:paraId="04EC9AC2" w14:textId="77777777" w:rsidR="000B6C49" w:rsidRDefault="0009276C">
      <w:pPr>
        <w:pStyle w:val="Compact"/>
        <w:numPr>
          <w:ilvl w:val="0"/>
          <w:numId w:val="7"/>
        </w:numPr>
      </w:pPr>
      <w:r>
        <w:t>Producing a map of the United States</w:t>
      </w:r>
    </w:p>
    <w:p w14:paraId="03F9B8A1" w14:textId="77777777" w:rsidR="000B6C49" w:rsidRDefault="0009276C">
      <w:pPr>
        <w:pStyle w:val="SourceCode"/>
      </w:pPr>
      <w:r>
        <w:rPr>
          <w:rStyle w:val="CommentTok"/>
        </w:rPr>
        <w:t># load packages</w:t>
      </w:r>
      <w:r>
        <w:br/>
      </w:r>
      <w:r>
        <w:rPr>
          <w:rStyle w:val="KeywordTok"/>
        </w:rPr>
        <w:t>library</w:t>
      </w:r>
      <w:r>
        <w:rPr>
          <w:rStyle w:val="NormalTok"/>
        </w:rPr>
        <w:t>(rio)</w:t>
      </w:r>
      <w:r>
        <w:br/>
      </w:r>
      <w:r>
        <w:rPr>
          <w:rStyle w:val="KeywordTok"/>
        </w:rPr>
        <w:t>library</w:t>
      </w:r>
      <w:r>
        <w:rPr>
          <w:rStyle w:val="NormalTok"/>
        </w:rPr>
        <w:t>(tidyverse)</w:t>
      </w:r>
      <w:r>
        <w:br/>
      </w:r>
      <w:r>
        <w:rPr>
          <w:rStyle w:val="KeywordTok"/>
        </w:rPr>
        <w:t>library</w:t>
      </w:r>
      <w:r>
        <w:rPr>
          <w:rStyle w:val="NormalTok"/>
        </w:rPr>
        <w:t>(googlesheets4)</w:t>
      </w:r>
      <w:r>
        <w:br/>
      </w:r>
      <w:r>
        <w:rPr>
          <w:rStyle w:val="KeywordTok"/>
        </w:rPr>
        <w:t>library</w:t>
      </w:r>
      <w:r>
        <w:rPr>
          <w:rStyle w:val="NormalTok"/>
        </w:rPr>
        <w:t>(labelled)</w:t>
      </w:r>
      <w:r>
        <w:br/>
      </w:r>
      <w:r>
        <w:rPr>
          <w:rStyle w:val="KeywordTok"/>
        </w:rPr>
        <w:t>l</w:t>
      </w:r>
      <w:r>
        <w:rPr>
          <w:rStyle w:val="KeywordTok"/>
        </w:rPr>
        <w:t>ibrary</w:t>
      </w:r>
      <w:r>
        <w:rPr>
          <w:rStyle w:val="NormalTok"/>
        </w:rPr>
        <w:t>(data.table)</w:t>
      </w:r>
      <w:r>
        <w:br/>
      </w:r>
      <w:r>
        <w:rPr>
          <w:rStyle w:val="KeywordTok"/>
        </w:rPr>
        <w:t>library</w:t>
      </w:r>
      <w:r>
        <w:rPr>
          <w:rStyle w:val="NormalTok"/>
        </w:rPr>
        <w:t>(varhandle)</w:t>
      </w:r>
      <w:r>
        <w:br/>
      </w:r>
      <w:r>
        <w:rPr>
          <w:rStyle w:val="KeywordTok"/>
        </w:rPr>
        <w:t>library</w:t>
      </w:r>
      <w:r>
        <w:rPr>
          <w:rStyle w:val="NormalTok"/>
        </w:rPr>
        <w:t>(ggrepel)</w:t>
      </w:r>
      <w:r>
        <w:br/>
      </w:r>
      <w:r>
        <w:rPr>
          <w:rStyle w:val="KeywordTok"/>
        </w:rPr>
        <w:t>library</w:t>
      </w:r>
      <w:r>
        <w:rPr>
          <w:rStyle w:val="NormalTok"/>
        </w:rPr>
        <w:t>(geosphere)</w:t>
      </w:r>
      <w:r>
        <w:br/>
      </w:r>
      <w:r>
        <w:rPr>
          <w:rStyle w:val="KeywordTok"/>
        </w:rPr>
        <w:t>library</w:t>
      </w:r>
      <w:r>
        <w:rPr>
          <w:rStyle w:val="NormalTok"/>
        </w:rPr>
        <w:t>(rgeos)</w:t>
      </w:r>
    </w:p>
    <w:p w14:paraId="1E2CBC27" w14:textId="77777777" w:rsidR="000B6C49" w:rsidRDefault="0009276C">
      <w:pPr>
        <w:pStyle w:val="SourceCode"/>
      </w:pPr>
      <w:r>
        <w:rPr>
          <w:rStyle w:val="VerbatimChar"/>
        </w:rPr>
        <w:t>## Loading required package: sp</w:t>
      </w:r>
    </w:p>
    <w:p w14:paraId="353AD878" w14:textId="77777777" w:rsidR="000B6C49" w:rsidRDefault="0009276C">
      <w:pPr>
        <w:pStyle w:val="SourceCode"/>
      </w:pPr>
      <w:r>
        <w:rPr>
          <w:rStyle w:val="VerbatimChar"/>
        </w:rPr>
        <w:t>## rgeos version: 0.5-3, (SVN revision 634)</w:t>
      </w:r>
      <w:r>
        <w:br/>
      </w:r>
      <w:r>
        <w:rPr>
          <w:rStyle w:val="VerbatimChar"/>
        </w:rPr>
        <w:t xml:space="preserve">##  GEOS runtime version: 3.8.0-CAPI-1.13.1 </w:t>
      </w:r>
      <w:r>
        <w:br/>
      </w:r>
      <w:r>
        <w:rPr>
          <w:rStyle w:val="VerbatimChar"/>
        </w:rPr>
        <w:t xml:space="preserve">##  Linking to sp version: 1.4-2 </w:t>
      </w:r>
      <w:r>
        <w:br/>
      </w:r>
      <w:r>
        <w:rPr>
          <w:rStyle w:val="VerbatimChar"/>
        </w:rPr>
        <w:t>##  Polygon checking: TRUE</w:t>
      </w:r>
    </w:p>
    <w:p w14:paraId="2D8F4531" w14:textId="77777777" w:rsidR="000B6C49" w:rsidRDefault="0009276C">
      <w:pPr>
        <w:pStyle w:val="SourceCode"/>
      </w:pPr>
      <w:r>
        <w:rPr>
          <w:rStyle w:val="KeywordTok"/>
        </w:rPr>
        <w:t>library</w:t>
      </w:r>
      <w:r>
        <w:rPr>
          <w:rStyle w:val="NormalTok"/>
        </w:rPr>
        <w:t>(viridis)</w:t>
      </w:r>
    </w:p>
    <w:p w14:paraId="6C5E3B38" w14:textId="77777777" w:rsidR="000B6C49" w:rsidRDefault="0009276C">
      <w:pPr>
        <w:pStyle w:val="SourceCode"/>
      </w:pPr>
      <w:r>
        <w:rPr>
          <w:rStyle w:val="VerbatimChar"/>
        </w:rPr>
        <w:t>## Loading required package: viridisLite</w:t>
      </w:r>
    </w:p>
    <w:p w14:paraId="7612CC0D" w14:textId="77777777" w:rsidR="000B6C49" w:rsidRDefault="0009276C">
      <w:pPr>
        <w:pStyle w:val="SourceCode"/>
      </w:pPr>
      <w:r>
        <w:rPr>
          <w:rStyle w:val="KeywordTok"/>
        </w:rPr>
        <w:t>library</w:t>
      </w:r>
      <w:r>
        <w:rPr>
          <w:rStyle w:val="NormalTok"/>
        </w:rPr>
        <w:t>(mapview)</w:t>
      </w:r>
      <w:r>
        <w:br/>
      </w:r>
      <w:r>
        <w:rPr>
          <w:rStyle w:val="KeywordTok"/>
        </w:rPr>
        <w:t>library</w:t>
      </w:r>
      <w:r>
        <w:rPr>
          <w:rStyle w:val="NormalTok"/>
        </w:rPr>
        <w:t>(rnaturalearth)</w:t>
      </w:r>
      <w:r>
        <w:br/>
      </w:r>
      <w:r>
        <w:rPr>
          <w:rStyle w:val="KeywordTok"/>
        </w:rPr>
        <w:t>library</w:t>
      </w:r>
      <w:r>
        <w:rPr>
          <w:rStyle w:val="NormalTok"/>
        </w:rPr>
        <w:t>(rnaturalearthdata)</w:t>
      </w:r>
      <w:r>
        <w:br/>
      </w:r>
      <w:r>
        <w:rPr>
          <w:rStyle w:val="KeywordTok"/>
        </w:rPr>
        <w:t>library</w:t>
      </w:r>
      <w:r>
        <w:rPr>
          <w:rStyle w:val="NormalTok"/>
        </w:rPr>
        <w:t>(devtools)</w:t>
      </w:r>
    </w:p>
    <w:p w14:paraId="4A2B008A" w14:textId="77777777" w:rsidR="000B6C49" w:rsidRDefault="0009276C">
      <w:pPr>
        <w:pStyle w:val="SourceCode"/>
      </w:pPr>
      <w:r>
        <w:rPr>
          <w:rStyle w:val="VerbatimChar"/>
        </w:rPr>
        <w:t>## Loading required package: usethis</w:t>
      </w:r>
    </w:p>
    <w:p w14:paraId="6EC084AC" w14:textId="77777777" w:rsidR="000B6C49" w:rsidRDefault="0009276C">
      <w:pPr>
        <w:pStyle w:val="SourceCode"/>
      </w:pPr>
      <w:r>
        <w:rPr>
          <w:rStyle w:val="KeywordTok"/>
        </w:rPr>
        <w:t>library</w:t>
      </w:r>
      <w:r>
        <w:rPr>
          <w:rStyle w:val="NormalTok"/>
        </w:rPr>
        <w:t xml:space="preserve">(rnaturalearthhires) </w:t>
      </w:r>
      <w:r>
        <w:br/>
      </w:r>
      <w:r>
        <w:rPr>
          <w:rStyle w:val="KeywordTok"/>
        </w:rPr>
        <w:t>library</w:t>
      </w:r>
      <w:r>
        <w:rPr>
          <w:rStyle w:val="NormalTok"/>
        </w:rPr>
        <w:t>(raster)</w:t>
      </w:r>
    </w:p>
    <w:p w14:paraId="6AAEB2D1" w14:textId="77777777" w:rsidR="000B6C49" w:rsidRDefault="0009276C">
      <w:pPr>
        <w:pStyle w:val="SourceCode"/>
      </w:pPr>
      <w:r>
        <w:rPr>
          <w:rStyle w:val="VerbatimChar"/>
        </w:rPr>
        <w:t xml:space="preserve">## </w:t>
      </w:r>
      <w:r>
        <w:br/>
      </w:r>
      <w:r>
        <w:rPr>
          <w:rStyle w:val="VerbatimChar"/>
        </w:rPr>
        <w:t>## Attaching package: 'raster'</w:t>
      </w:r>
    </w:p>
    <w:p w14:paraId="4B0EF157" w14:textId="77777777" w:rsidR="000B6C49" w:rsidRDefault="0009276C">
      <w:pPr>
        <w:pStyle w:val="SourceCode"/>
      </w:pPr>
      <w:r>
        <w:rPr>
          <w:rStyle w:val="VerbatimChar"/>
        </w:rPr>
        <w:t>## The following object is masked from 'package:data.table':</w:t>
      </w:r>
      <w:r>
        <w:br/>
      </w:r>
      <w:r>
        <w:rPr>
          <w:rStyle w:val="VerbatimChar"/>
        </w:rPr>
        <w:t xml:space="preserve">## </w:t>
      </w:r>
      <w:r>
        <w:br/>
      </w:r>
      <w:r>
        <w:rPr>
          <w:rStyle w:val="VerbatimChar"/>
        </w:rPr>
        <w:t>##     shift</w:t>
      </w:r>
    </w:p>
    <w:p w14:paraId="174D6249" w14:textId="77777777" w:rsidR="000B6C49" w:rsidRDefault="0009276C">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EC04F88" w14:textId="77777777" w:rsidR="000B6C49" w:rsidRDefault="0009276C">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02B7D30D" w14:textId="77777777" w:rsidR="000B6C49" w:rsidRDefault="0009276C">
      <w:pPr>
        <w:pStyle w:val="SourceCode"/>
      </w:pPr>
      <w:r>
        <w:rPr>
          <w:rStyle w:val="KeywordTok"/>
        </w:rPr>
        <w:lastRenderedPageBreak/>
        <w:t>library</w:t>
      </w:r>
      <w:r>
        <w:rPr>
          <w:rStyle w:val="NormalTok"/>
        </w:rPr>
        <w:t>(sp)</w:t>
      </w:r>
      <w:r>
        <w:br/>
      </w:r>
      <w:r>
        <w:rPr>
          <w:rStyle w:val="KeywordTok"/>
        </w:rPr>
        <w:t>library</w:t>
      </w:r>
      <w:r>
        <w:rPr>
          <w:rStyle w:val="NormalTok"/>
        </w:rPr>
        <w:t>(sf)</w:t>
      </w:r>
    </w:p>
    <w:p w14:paraId="61284781" w14:textId="77777777" w:rsidR="000B6C49" w:rsidRDefault="0009276C">
      <w:pPr>
        <w:pStyle w:val="SourceCode"/>
      </w:pPr>
      <w:r>
        <w:rPr>
          <w:rStyle w:val="VerbatimChar"/>
        </w:rPr>
        <w:t>## Linking to GEOS 3.8.0, GDAL 3.0.4, PROJ 6.3.1</w:t>
      </w:r>
    </w:p>
    <w:p w14:paraId="614BF907" w14:textId="77777777" w:rsidR="000B6C49" w:rsidRDefault="0009276C">
      <w:pPr>
        <w:pStyle w:val="SourceCode"/>
      </w:pPr>
      <w:r>
        <w:rPr>
          <w:rStyle w:val="KeywordTok"/>
        </w:rPr>
        <w:t>library</w:t>
      </w:r>
      <w:r>
        <w:rPr>
          <w:rStyle w:val="NormalTok"/>
        </w:rPr>
        <w:t>(Imap)</w:t>
      </w:r>
    </w:p>
    <w:p w14:paraId="3A9D783B" w14:textId="77777777" w:rsidR="000B6C49" w:rsidRDefault="0009276C">
      <w:pPr>
        <w:pStyle w:val="SourceCode"/>
      </w:pPr>
      <w:r>
        <w:rPr>
          <w:rStyle w:val="VerbatimChar"/>
        </w:rPr>
        <w:t xml:space="preserve">## </w:t>
      </w:r>
      <w:r>
        <w:br/>
      </w:r>
      <w:r>
        <w:rPr>
          <w:rStyle w:val="VerbatimChar"/>
        </w:rPr>
        <w:t>## Attaching package: 'Imap'</w:t>
      </w:r>
    </w:p>
    <w:p w14:paraId="461A3E7C" w14:textId="77777777" w:rsidR="000B6C49" w:rsidRDefault="0009276C">
      <w:pPr>
        <w:pStyle w:val="SourceCode"/>
      </w:pPr>
      <w:r>
        <w:rPr>
          <w:rStyle w:val="VerbatimChar"/>
        </w:rPr>
        <w:t>## The following object is masked from 'package:purrr':</w:t>
      </w:r>
      <w:r>
        <w:br/>
      </w:r>
      <w:r>
        <w:rPr>
          <w:rStyle w:val="VerbatimChar"/>
        </w:rPr>
        <w:t xml:space="preserve">## </w:t>
      </w:r>
      <w:r>
        <w:br/>
      </w:r>
      <w:r>
        <w:rPr>
          <w:rStyle w:val="VerbatimChar"/>
        </w:rPr>
        <w:t>#</w:t>
      </w:r>
      <w:r>
        <w:rPr>
          <w:rStyle w:val="VerbatimChar"/>
        </w:rPr>
        <w:t>#     imap</w:t>
      </w:r>
    </w:p>
    <w:p w14:paraId="77DBE6B9" w14:textId="77777777" w:rsidR="000B6C49" w:rsidRDefault="0009276C">
      <w:pPr>
        <w:pStyle w:val="SourceCode"/>
      </w:pPr>
      <w:r>
        <w:rPr>
          <w:rStyle w:val="KeywordTok"/>
        </w:rPr>
        <w:t>library</w:t>
      </w:r>
      <w:r>
        <w:rPr>
          <w:rStyle w:val="NormalTok"/>
        </w:rPr>
        <w:t>(remotes)</w:t>
      </w:r>
    </w:p>
    <w:p w14:paraId="4A2F3294" w14:textId="77777777" w:rsidR="000B6C49" w:rsidRDefault="0009276C">
      <w:pPr>
        <w:pStyle w:val="SourceCode"/>
      </w:pPr>
      <w:r>
        <w:rPr>
          <w:rStyle w:val="VerbatimChar"/>
        </w:rPr>
        <w:t xml:space="preserve">## </w:t>
      </w:r>
      <w:r>
        <w:br/>
      </w:r>
      <w:r>
        <w:rPr>
          <w:rStyle w:val="VerbatimChar"/>
        </w:rPr>
        <w:t>## Attaching package: 'remotes'</w:t>
      </w:r>
    </w:p>
    <w:p w14:paraId="0FB43CD9" w14:textId="77777777" w:rsidR="000B6C49" w:rsidRDefault="0009276C">
      <w:pPr>
        <w:pStyle w:val="SourceCode"/>
      </w:pPr>
      <w:r>
        <w:rPr>
          <w:rStyle w:val="VerbatimChar"/>
        </w:rPr>
        <w:t>## The following objects are masked from 'package:devtools':</w:t>
      </w:r>
      <w:r>
        <w:br/>
      </w:r>
      <w:r>
        <w:rPr>
          <w:rStyle w:val="VerbatimChar"/>
        </w:rPr>
        <w:t xml:space="preserve">## </w:t>
      </w:r>
      <w:r>
        <w:br/>
      </w:r>
      <w:r>
        <w:rPr>
          <w:rStyle w:val="VerbatimChar"/>
        </w:rPr>
        <w:t>##     dev_package_deps, install_bioc, install_bitbucket, install_cran,</w:t>
      </w:r>
      <w:r>
        <w:br/>
      </w:r>
      <w:r>
        <w:rPr>
          <w:rStyle w:val="VerbatimChar"/>
        </w:rPr>
        <w:t>##     install_deps, install_dev, install_git, install_</w:t>
      </w:r>
      <w:r>
        <w:rPr>
          <w:rStyle w:val="VerbatimChar"/>
        </w:rPr>
        <w:t>github,</w:t>
      </w:r>
      <w:r>
        <w:br/>
      </w:r>
      <w:r>
        <w:rPr>
          <w:rStyle w:val="VerbatimChar"/>
        </w:rPr>
        <w:t>##     install_gitlab, install_local, install_svn, install_url,</w:t>
      </w:r>
      <w:r>
        <w:br/>
      </w:r>
      <w:r>
        <w:rPr>
          <w:rStyle w:val="VerbatimChar"/>
        </w:rPr>
        <w:t>##     install_version, update_packages</w:t>
      </w:r>
    </w:p>
    <w:p w14:paraId="108F0596" w14:textId="77777777" w:rsidR="000B6C49" w:rsidRDefault="0009276C">
      <w:pPr>
        <w:pStyle w:val="SourceCode"/>
      </w:pPr>
      <w:r>
        <w:rPr>
          <w:rStyle w:val="VerbatimChar"/>
        </w:rPr>
        <w:t>## The following object is masked from 'package:usethis':</w:t>
      </w:r>
      <w:r>
        <w:br/>
      </w:r>
      <w:r>
        <w:rPr>
          <w:rStyle w:val="VerbatimChar"/>
        </w:rPr>
        <w:t xml:space="preserve">## </w:t>
      </w:r>
      <w:r>
        <w:br/>
      </w:r>
      <w:r>
        <w:rPr>
          <w:rStyle w:val="VerbatimChar"/>
        </w:rPr>
        <w:t>##     git_credentials</w:t>
      </w:r>
    </w:p>
    <w:p w14:paraId="59D5FA2C" w14:textId="77777777" w:rsidR="000B6C49" w:rsidRDefault="0009276C">
      <w:pPr>
        <w:pStyle w:val="SourceCode"/>
      </w:pPr>
      <w:r>
        <w:rPr>
          <w:rStyle w:val="CommentTok"/>
        </w:rPr>
        <w:t>#transform to WGS84</w:t>
      </w:r>
      <w:r>
        <w:br/>
      </w:r>
      <w:r>
        <w:rPr>
          <w:rStyle w:val="NormalTok"/>
        </w:rPr>
        <w:t>inequality_long &lt;-</w:t>
      </w:r>
      <w:r>
        <w:rPr>
          <w:rStyle w:val="StringTok"/>
        </w:rPr>
        <w:t xml:space="preserve"> </w:t>
      </w:r>
      <w:r>
        <w:rPr>
          <w:rStyle w:val="KeywordTok"/>
        </w:rPr>
        <w:t>st_transform</w:t>
      </w:r>
      <w:r>
        <w:rPr>
          <w:rStyle w:val="NormalTok"/>
        </w:rPr>
        <w:t xml:space="preserve">(inequality_long, </w:t>
      </w:r>
      <w:r>
        <w:rPr>
          <w:rStyle w:val="StringTok"/>
        </w:rPr>
        <w:t>"+proj=latlong +ellps=WGS84 +datum=WGS84"</w:t>
      </w:r>
      <w:r>
        <w:rPr>
          <w:rStyle w:val="NormalTok"/>
        </w:rPr>
        <w:t>)</w:t>
      </w:r>
    </w:p>
    <w:p w14:paraId="00EB4A0C" w14:textId="77777777" w:rsidR="000B6C49" w:rsidRDefault="0009276C">
      <w:pPr>
        <w:pStyle w:val="SourceCode"/>
      </w:pPr>
      <w:r>
        <w:rPr>
          <w:rStyle w:val="VerbatimChar"/>
        </w:rPr>
        <w:t>## Error in UseMethod("st_transform"): no applicable method for 'st_transform' applied to an object of class "c('tbl_df', 'tbl', 'data.frame')"</w:t>
      </w:r>
    </w:p>
    <w:p w14:paraId="5D845C97" w14:textId="77777777" w:rsidR="000B6C49" w:rsidRDefault="0009276C">
      <w:pPr>
        <w:pStyle w:val="SourceCode"/>
      </w:pPr>
      <w:r>
        <w:rPr>
          <w:rStyle w:val="CommentTok"/>
        </w:rPr>
        <w:t>#map of the world package</w:t>
      </w:r>
      <w:r>
        <w:br/>
      </w:r>
      <w:r>
        <w:rPr>
          <w:rStyle w:val="NormalTok"/>
        </w:rPr>
        <w:t>world &lt;-</w:t>
      </w:r>
      <w:r>
        <w:rPr>
          <w:rStyle w:val="StringTok"/>
        </w:rPr>
        <w:t xml:space="preserve"> </w:t>
      </w:r>
      <w:r>
        <w:rPr>
          <w:rStyle w:val="KeywordTok"/>
        </w:rPr>
        <w:t>ne_c</w:t>
      </w:r>
      <w:r>
        <w:rPr>
          <w:rStyle w:val="KeywordTok"/>
        </w:rPr>
        <w:t>ountries</w:t>
      </w:r>
      <w:r>
        <w:rPr>
          <w:rStyle w:val="NormalTok"/>
        </w:rPr>
        <w:t>(</w:t>
      </w:r>
      <w:r>
        <w:rPr>
          <w:rStyle w:val="DataTypeTok"/>
        </w:rPr>
        <w:t>scale=</w:t>
      </w:r>
      <w:r>
        <w:rPr>
          <w:rStyle w:val="StringTok"/>
        </w:rPr>
        <w:t>"large"</w:t>
      </w:r>
      <w:r>
        <w:rPr>
          <w:rStyle w:val="NormalTok"/>
        </w:rPr>
        <w:t xml:space="preserve">, </w:t>
      </w:r>
      <w:r>
        <w:rPr>
          <w:rStyle w:val="DataTypeTok"/>
        </w:rPr>
        <w:t>returnclass =</w:t>
      </w:r>
      <w:r>
        <w:rPr>
          <w:rStyle w:val="NormalTok"/>
        </w:rPr>
        <w:t xml:space="preserve"> </w:t>
      </w:r>
      <w:r>
        <w:rPr>
          <w:rStyle w:val="StringTok"/>
        </w:rPr>
        <w:t>"sf"</w:t>
      </w:r>
      <w:r>
        <w:rPr>
          <w:rStyle w:val="NormalTok"/>
        </w:rPr>
        <w:t>)</w:t>
      </w:r>
      <w:r>
        <w:br/>
      </w:r>
      <w:r>
        <w:br/>
      </w:r>
      <w:r>
        <w:rPr>
          <w:rStyle w:val="CommentTok"/>
        </w:rPr>
        <w:t>#US map</w:t>
      </w:r>
      <w:r>
        <w:br/>
      </w:r>
      <w:r>
        <w:rPr>
          <w:rStyle w:val="NormalTok"/>
        </w:rPr>
        <w:t>us &lt;-</w:t>
      </w:r>
      <w:r>
        <w:rPr>
          <w:rStyle w:val="StringTok"/>
        </w:rPr>
        <w:t xml:space="preserve"> </w:t>
      </w:r>
      <w:r>
        <w:rPr>
          <w:rStyle w:val="KeywordTok"/>
        </w:rPr>
        <w:t>ne_countries</w:t>
      </w:r>
      <w:r>
        <w:rPr>
          <w:rStyle w:val="NormalTok"/>
        </w:rPr>
        <w:t>(</w:t>
      </w:r>
      <w:r>
        <w:rPr>
          <w:rStyle w:val="DataTypeTok"/>
        </w:rPr>
        <w:t>continent =</w:t>
      </w:r>
      <w:r>
        <w:rPr>
          <w:rStyle w:val="NormalTok"/>
        </w:rPr>
        <w:t xml:space="preserve"> </w:t>
      </w:r>
      <w:r>
        <w:rPr>
          <w:rStyle w:val="StringTok"/>
        </w:rPr>
        <w:t>"United States"</w:t>
      </w:r>
      <w:r>
        <w:rPr>
          <w:rStyle w:val="NormalTok"/>
        </w:rPr>
        <w:t>,</w:t>
      </w:r>
      <w:r>
        <w:br/>
      </w:r>
      <w:r>
        <w:rPr>
          <w:rStyle w:val="NormalTok"/>
        </w:rPr>
        <w:t xml:space="preserve">                       </w:t>
      </w:r>
      <w:r>
        <w:rPr>
          <w:rStyle w:val="DataTypeTok"/>
        </w:rPr>
        <w:t>scale =</w:t>
      </w:r>
      <w:r>
        <w:rPr>
          <w:rStyle w:val="NormalTok"/>
        </w:rPr>
        <w:t xml:space="preserve"> </w:t>
      </w:r>
      <w:r>
        <w:rPr>
          <w:rStyle w:val="StringTok"/>
        </w:rPr>
        <w:t>"large"</w:t>
      </w:r>
      <w:r>
        <w:rPr>
          <w:rStyle w:val="NormalTok"/>
        </w:rPr>
        <w:t>,</w:t>
      </w:r>
      <w:r>
        <w:br/>
      </w:r>
      <w:r>
        <w:rPr>
          <w:rStyle w:val="NormalTok"/>
        </w:rPr>
        <w:t xml:space="preserve">                       </w:t>
      </w:r>
      <w:r>
        <w:rPr>
          <w:rStyle w:val="DataTypeTok"/>
        </w:rPr>
        <w:t>returnclass =</w:t>
      </w:r>
      <w:r>
        <w:rPr>
          <w:rStyle w:val="NormalTok"/>
        </w:rPr>
        <w:t xml:space="preserve"> </w:t>
      </w:r>
      <w:r>
        <w:rPr>
          <w:rStyle w:val="StringTok"/>
        </w:rPr>
        <w:t>"sf"</w:t>
      </w:r>
      <w:r>
        <w:rPr>
          <w:rStyle w:val="NormalTok"/>
        </w:rPr>
        <w:t>)</w:t>
      </w:r>
    </w:p>
    <w:p w14:paraId="39E0E978" w14:textId="77777777" w:rsidR="000B6C49" w:rsidRDefault="0009276C">
      <w:pPr>
        <w:pStyle w:val="SourceCode"/>
      </w:pPr>
      <w:r>
        <w:rPr>
          <w:rStyle w:val="VerbatimChar"/>
        </w:rPr>
        <w:t>## Error in ne_countries(continent = "United States", scale = "large", r</w:t>
      </w:r>
      <w:r>
        <w:rPr>
          <w:rStyle w:val="VerbatimChar"/>
        </w:rPr>
        <w:t>eturnclass = "sf"): No such continent (United States) in the data</w:t>
      </w:r>
    </w:p>
    <w:p w14:paraId="04697305" w14:textId="77777777" w:rsidR="000B6C49" w:rsidRDefault="0009276C">
      <w:pPr>
        <w:pStyle w:val="SourceCode"/>
      </w:pPr>
      <w:r>
        <w:rPr>
          <w:rStyle w:val="CommentTok"/>
        </w:rPr>
        <w:t>#final plot</w:t>
      </w:r>
      <w:r>
        <w:br/>
      </w:r>
      <w:r>
        <w:rPr>
          <w:rStyle w:val="NormalTok"/>
        </w:rPr>
        <w:t>us_map =</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united_states) </w:t>
      </w:r>
      <w:r>
        <w:rPr>
          <w:rStyle w:val="OperatorTok"/>
        </w:rPr>
        <w:t>+</w:t>
      </w:r>
      <w:r>
        <w:br/>
      </w:r>
      <w:r>
        <w:rPr>
          <w:rStyle w:val="StringTok"/>
        </w:rPr>
        <w:lastRenderedPageBreak/>
        <w:t xml:space="preserve">  </w:t>
      </w:r>
      <w:r>
        <w:rPr>
          <w:rStyle w:val="KeywordTok"/>
        </w:rPr>
        <w:t>geom_sf</w:t>
      </w:r>
      <w:r>
        <w:rPr>
          <w:rStyle w:val="NormalTok"/>
        </w:rPr>
        <w:t>(</w:t>
      </w:r>
      <w:r>
        <w:rPr>
          <w:rStyle w:val="DataTypeTok"/>
        </w:rPr>
        <w:t>data =</w:t>
      </w:r>
      <w:r>
        <w:rPr>
          <w:rStyle w:val="NormalTok"/>
        </w:rPr>
        <w:t xml:space="preserve"> sa_nr_collapsed, </w:t>
      </w:r>
      <w:r>
        <w:rPr>
          <w:rStyle w:val="KeywordTok"/>
        </w:rPr>
        <w:t>aes</w:t>
      </w:r>
      <w:r>
        <w:rPr>
          <w:rStyle w:val="NormalTok"/>
        </w:rPr>
        <w:t>(</w:t>
      </w:r>
      <w:r>
        <w:rPr>
          <w:rStyle w:val="DataTypeTok"/>
        </w:rPr>
        <w:t>fill=</w:t>
      </w:r>
      <w:r>
        <w:rPr>
          <w:rStyle w:val="NormalTok"/>
        </w:rPr>
        <w:t xml:space="preserve"> </w:t>
      </w:r>
      <w:r>
        <w:rPr>
          <w:rStyle w:val="StringTok"/>
        </w:rPr>
        <w:t>`</w:t>
      </w:r>
      <w:r>
        <w:rPr>
          <w:rStyle w:val="DataTypeTok"/>
        </w:rPr>
        <w:t>Log Value</w:t>
      </w:r>
      <w:r>
        <w:rPr>
          <w:rStyle w:val="StringTok"/>
        </w:rPr>
        <w:t>`</w:t>
      </w:r>
      <w:r>
        <w:rPr>
          <w:rStyle w:val="NormalTok"/>
        </w:rPr>
        <w:t xml:space="preserve">)) </w:t>
      </w:r>
      <w:r>
        <w:rPr>
          <w:rStyle w:val="OperatorTok"/>
        </w:rPr>
        <w:t>+</w:t>
      </w:r>
      <w:r>
        <w:br/>
      </w:r>
      <w:r>
        <w:rPr>
          <w:rStyle w:val="StringTok"/>
        </w:rPr>
        <w:t xml:space="preserve">  </w:t>
      </w:r>
      <w:r>
        <w:rPr>
          <w:rStyle w:val="KeywordTok"/>
        </w:rPr>
        <w:t>scale_fill_viridis</w:t>
      </w:r>
      <w:r>
        <w:rPr>
          <w:rStyle w:val="NormalTok"/>
        </w:rPr>
        <w:t>(</w:t>
      </w:r>
      <w:r>
        <w:rPr>
          <w:rStyle w:val="DataTypeTok"/>
        </w:rPr>
        <w:t>option =</w:t>
      </w:r>
      <w:r>
        <w:rPr>
          <w:rStyle w:val="NormalTok"/>
        </w:rPr>
        <w:t xml:space="preserve"> </w:t>
      </w:r>
      <w:r>
        <w:rPr>
          <w:rStyle w:val="StringTok"/>
        </w:rPr>
        <w:t>"viridis"</w:t>
      </w:r>
      <w:r>
        <w:rPr>
          <w:rStyle w:val="NormalTok"/>
        </w:rPr>
        <w:t>)</w:t>
      </w:r>
    </w:p>
    <w:p w14:paraId="5C6E32CC" w14:textId="77777777" w:rsidR="000B6C49" w:rsidRDefault="0009276C">
      <w:pPr>
        <w:pStyle w:val="SourceCode"/>
      </w:pPr>
      <w:r>
        <w:rPr>
          <w:rStyle w:val="VerbatimChar"/>
        </w:rPr>
        <w:t>## Error in fortify(dat</w:t>
      </w:r>
      <w:r>
        <w:rPr>
          <w:rStyle w:val="VerbatimChar"/>
        </w:rPr>
        <w:t>a): object 'united_states' not found</w:t>
      </w:r>
    </w:p>
    <w:p w14:paraId="0A9FADDB" w14:textId="77777777" w:rsidR="000B6C49" w:rsidRDefault="0009276C">
      <w:pPr>
        <w:pStyle w:val="SourceCode"/>
      </w:pPr>
      <w:r>
        <w:rPr>
          <w:rStyle w:val="NormalTok"/>
        </w:rPr>
        <w:t xml:space="preserve">  </w:t>
      </w:r>
      <w:r>
        <w:rPr>
          <w:rStyle w:val="KeywordTok"/>
        </w:rPr>
        <w:t>ggtitle</w:t>
      </w:r>
      <w:r>
        <w:rPr>
          <w:rStyle w:val="NormalTok"/>
        </w:rPr>
        <w:t>(</w:t>
      </w:r>
      <w:r>
        <w:rPr>
          <w:rStyle w:val="StringTok"/>
        </w:rPr>
        <w:t>"Gini in the United States"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theme_void</w:t>
      </w:r>
      <w:r>
        <w:rPr>
          <w:rStyle w:val="NormalTok"/>
        </w:rPr>
        <w:t>()</w:t>
      </w:r>
    </w:p>
    <w:p w14:paraId="2ADD53B2" w14:textId="77777777" w:rsidR="000B6C49" w:rsidRDefault="0009276C">
      <w:pPr>
        <w:pStyle w:val="SourceCode"/>
      </w:pPr>
      <w:r>
        <w:rPr>
          <w:rStyle w:val="VerbatimChar"/>
        </w:rPr>
        <w:t>## NULL</w:t>
      </w:r>
    </w:p>
    <w:p w14:paraId="07E0A2CB" w14:textId="77777777" w:rsidR="000B6C49" w:rsidRDefault="0009276C">
      <w:pPr>
        <w:pStyle w:val="Compact"/>
        <w:numPr>
          <w:ilvl w:val="0"/>
          <w:numId w:val="8"/>
        </w:numPr>
      </w:pPr>
      <w:r>
        <w:t>importing GDP data from wdi</w:t>
      </w:r>
    </w:p>
    <w:p w14:paraId="4FD1F207" w14:textId="77777777" w:rsidR="000B6C49" w:rsidRDefault="0009276C">
      <w:pPr>
        <w:pStyle w:val="SourceCode"/>
      </w:pPr>
      <w:r>
        <w:rPr>
          <w:rStyle w:val="KeywordTok"/>
        </w:rPr>
        <w:t>library</w:t>
      </w:r>
      <w:r>
        <w:rPr>
          <w:rStyle w:val="NormalTok"/>
        </w:rPr>
        <w:t>(WDI)</w:t>
      </w:r>
      <w:r>
        <w:br/>
      </w:r>
      <w:r>
        <w:rPr>
          <w:rStyle w:val="NormalTok"/>
        </w:rPr>
        <w:t>gdp_current &lt;-</w:t>
      </w:r>
      <w:r>
        <w:rPr>
          <w:rStyle w:val="StringTok"/>
        </w:rPr>
        <w:t xml:space="preserve"> </w:t>
      </w:r>
      <w:r>
        <w:rPr>
          <w:rStyle w:val="KeywordTok"/>
        </w:rPr>
        <w:t>WDI</w:t>
      </w:r>
      <w:r>
        <w:rPr>
          <w:rStyle w:val="NormalTok"/>
        </w:rPr>
        <w:t>(</w:t>
      </w:r>
      <w:r>
        <w:rPr>
          <w:rStyle w:val="DataTypeTok"/>
        </w:rPr>
        <w:t>country=</w:t>
      </w:r>
      <w:r>
        <w:rPr>
          <w:rStyle w:val="NormalTok"/>
        </w:rPr>
        <w:t xml:space="preserve"> </w:t>
      </w:r>
      <w:r>
        <w:rPr>
          <w:rStyle w:val="StringTok"/>
        </w:rPr>
        <w:t>"all"</w:t>
      </w:r>
      <w:r>
        <w:rPr>
          <w:rStyle w:val="NormalTok"/>
        </w:rPr>
        <w:t>,</w:t>
      </w:r>
      <w:r>
        <w:br/>
      </w:r>
      <w:r>
        <w:rPr>
          <w:rStyle w:val="NormalTok"/>
        </w:rPr>
        <w:t xml:space="preserve">                   </w:t>
      </w:r>
      <w:r>
        <w:rPr>
          <w:rStyle w:val="DataTypeTok"/>
        </w:rPr>
        <w:t>indicator =</w:t>
      </w:r>
      <w:r>
        <w:rPr>
          <w:rStyle w:val="NormalTok"/>
        </w:rPr>
        <w:t xml:space="preserve"> </w:t>
      </w:r>
      <w:r>
        <w:rPr>
          <w:rStyle w:val="KeywordTok"/>
        </w:rPr>
        <w:t>c</w:t>
      </w:r>
      <w:r>
        <w:rPr>
          <w:rStyle w:val="NormalTok"/>
        </w:rPr>
        <w:t>(</w:t>
      </w:r>
      <w:r>
        <w:rPr>
          <w:rStyle w:val="StringTok"/>
        </w:rPr>
        <w:t>"NY.GDP.PCAP.CD"</w:t>
      </w:r>
      <w:r>
        <w:rPr>
          <w:rStyle w:val="NormalTok"/>
        </w:rPr>
        <w:t>),</w:t>
      </w:r>
      <w:r>
        <w:br/>
      </w:r>
      <w:r>
        <w:rPr>
          <w:rStyle w:val="NormalTok"/>
        </w:rPr>
        <w:t xml:space="preserve">                   </w:t>
      </w:r>
      <w:r>
        <w:rPr>
          <w:rStyle w:val="DataTypeTok"/>
        </w:rPr>
        <w:t>start =</w:t>
      </w:r>
      <w:r>
        <w:rPr>
          <w:rStyle w:val="NormalTok"/>
        </w:rPr>
        <w:t xml:space="preserve"> </w:t>
      </w:r>
      <w:r>
        <w:rPr>
          <w:rStyle w:val="DecValTok"/>
        </w:rPr>
        <w:t>2006</w:t>
      </w:r>
      <w:r>
        <w:rPr>
          <w:rStyle w:val="NormalTok"/>
        </w:rPr>
        <w:t xml:space="preserve">, </w:t>
      </w:r>
      <w:r>
        <w:rPr>
          <w:rStyle w:val="DataTypeTok"/>
        </w:rPr>
        <w:t>end =</w:t>
      </w:r>
      <w:r>
        <w:rPr>
          <w:rStyle w:val="NormalTok"/>
        </w:rPr>
        <w:t xml:space="preserve"> </w:t>
      </w:r>
      <w:r>
        <w:rPr>
          <w:rStyle w:val="DecValTok"/>
        </w:rPr>
        <w:t>2007</w:t>
      </w:r>
      <w:r>
        <w:rPr>
          <w:rStyle w:val="NormalTok"/>
        </w:rPr>
        <w:t xml:space="preserve">, </w:t>
      </w:r>
      <w:r>
        <w:rPr>
          <w:rStyle w:val="DataTypeTok"/>
        </w:rPr>
        <w:t>extra =</w:t>
      </w:r>
      <w:r>
        <w:rPr>
          <w:rStyle w:val="NormalTok"/>
        </w:rPr>
        <w:t xml:space="preserve"> </w:t>
      </w:r>
      <w:r>
        <w:rPr>
          <w:rStyle w:val="OtherTok"/>
        </w:rPr>
        <w:t>FALSE</w:t>
      </w:r>
      <w:r>
        <w:rPr>
          <w:rStyle w:val="NormalTok"/>
        </w:rPr>
        <w:t xml:space="preserve">, </w:t>
      </w:r>
      <w:r>
        <w:rPr>
          <w:rStyle w:val="DataTypeTok"/>
        </w:rPr>
        <w:t>cache =</w:t>
      </w:r>
      <w:r>
        <w:rPr>
          <w:rStyle w:val="NormalTok"/>
        </w:rPr>
        <w:t xml:space="preserve"> </w:t>
      </w:r>
      <w:r>
        <w:rPr>
          <w:rStyle w:val="OtherTok"/>
        </w:rPr>
        <w:t>NULL</w:t>
      </w:r>
      <w:r>
        <w:rPr>
          <w:rStyle w:val="NormalTok"/>
        </w:rPr>
        <w:t>)</w:t>
      </w:r>
    </w:p>
    <w:p w14:paraId="443EDDCB" w14:textId="77777777" w:rsidR="000B6C49" w:rsidRDefault="0009276C">
      <w:pPr>
        <w:pStyle w:val="Compact"/>
        <w:numPr>
          <w:ilvl w:val="0"/>
          <w:numId w:val="9"/>
        </w:numPr>
      </w:pPr>
      <w:r>
        <w:t>Deflating gdp_current</w:t>
      </w:r>
    </w:p>
    <w:p w14:paraId="3ACF9A20" w14:textId="77777777" w:rsidR="000B6C49" w:rsidRDefault="0009276C">
      <w:pPr>
        <w:pStyle w:val="SourceCode"/>
      </w:pPr>
      <w:r>
        <w:rPr>
          <w:rStyle w:val="KeywordTok"/>
        </w:rPr>
        <w:t>library</w:t>
      </w:r>
      <w:r>
        <w:rPr>
          <w:rStyle w:val="NormalTok"/>
        </w:rPr>
        <w:t>(WDI)</w:t>
      </w:r>
      <w:r>
        <w:br/>
      </w:r>
      <w:r>
        <w:rPr>
          <w:rStyle w:val="NormalTok"/>
        </w:rPr>
        <w:t>deflator_data =</w:t>
      </w:r>
      <w:r>
        <w:rPr>
          <w:rStyle w:val="StringTok"/>
        </w:rPr>
        <w:t xml:space="preserve"> </w:t>
      </w:r>
      <w:r>
        <w:rPr>
          <w:rStyle w:val="KeywordTok"/>
        </w:rPr>
        <w:t>WDI</w:t>
      </w:r>
      <w:r>
        <w:rPr>
          <w:rStyle w:val="NormalTok"/>
        </w:rPr>
        <w:t>(</w:t>
      </w:r>
      <w:r>
        <w:rPr>
          <w:rStyle w:val="DataTypeTok"/>
        </w:rPr>
        <w:t>country =</w:t>
      </w:r>
      <w:r>
        <w:rPr>
          <w:rStyle w:val="NormalTok"/>
        </w:rPr>
        <w:t xml:space="preserve"> </w:t>
      </w:r>
      <w:r>
        <w:rPr>
          <w:rStyle w:val="StringTok"/>
        </w:rPr>
        <w:t>"all"</w:t>
      </w:r>
      <w:r>
        <w:rPr>
          <w:rStyle w:val="NormalTok"/>
        </w:rPr>
        <w:t>,</w:t>
      </w:r>
      <w:r>
        <w:br/>
      </w:r>
      <w:r>
        <w:rPr>
          <w:rStyle w:val="NormalTok"/>
        </w:rPr>
        <w:t xml:space="preserve">                    </w:t>
      </w:r>
      <w:r>
        <w:rPr>
          <w:rStyle w:val="DataTypeTok"/>
        </w:rPr>
        <w:t>indicator =</w:t>
      </w:r>
      <w:r>
        <w:rPr>
          <w:rStyle w:val="NormalTok"/>
        </w:rPr>
        <w:t xml:space="preserve"> </w:t>
      </w:r>
      <w:r>
        <w:rPr>
          <w:rStyle w:val="StringTok"/>
        </w:rPr>
        <w:t>"NY.GDP.DEFL.ZS"</w:t>
      </w:r>
      <w:r>
        <w:rPr>
          <w:rStyle w:val="NormalTok"/>
        </w:rPr>
        <w:t>,</w:t>
      </w:r>
      <w:r>
        <w:br/>
      </w:r>
      <w:r>
        <w:rPr>
          <w:rStyle w:val="NormalTok"/>
        </w:rPr>
        <w:t xml:space="preserve">        </w:t>
      </w:r>
      <w:r>
        <w:rPr>
          <w:rStyle w:val="NormalTok"/>
        </w:rPr>
        <w:t xml:space="preserve">            </w:t>
      </w:r>
      <w:r>
        <w:rPr>
          <w:rStyle w:val="DataTypeTok"/>
        </w:rPr>
        <w:t>start =</w:t>
      </w:r>
      <w:r>
        <w:rPr>
          <w:rStyle w:val="NormalTok"/>
        </w:rPr>
        <w:t xml:space="preserve"> </w:t>
      </w:r>
      <w:r>
        <w:rPr>
          <w:rStyle w:val="DecValTok"/>
        </w:rPr>
        <w:t>2010</w:t>
      </w:r>
      <w:r>
        <w:rPr>
          <w:rStyle w:val="NormalTok"/>
        </w:rPr>
        <w:t xml:space="preserve">, </w:t>
      </w:r>
      <w:r>
        <w:rPr>
          <w:rStyle w:val="DataTypeTok"/>
        </w:rPr>
        <w:t>end =</w:t>
      </w:r>
      <w:r>
        <w:rPr>
          <w:rStyle w:val="NormalTok"/>
        </w:rPr>
        <w:t xml:space="preserve"> </w:t>
      </w:r>
      <w:r>
        <w:rPr>
          <w:rStyle w:val="DecValTok"/>
        </w:rPr>
        <w:t>2010</w:t>
      </w:r>
      <w:r>
        <w:rPr>
          <w:rStyle w:val="NormalTok"/>
        </w:rPr>
        <w:t>,</w:t>
      </w:r>
      <w:r>
        <w:br/>
      </w:r>
      <w:r>
        <w:rPr>
          <w:rStyle w:val="NormalTok"/>
        </w:rPr>
        <w:t xml:space="preserve">                    </w:t>
      </w:r>
      <w:r>
        <w:rPr>
          <w:rStyle w:val="DataTypeTok"/>
        </w:rPr>
        <w:t>extra =</w:t>
      </w:r>
      <w:r>
        <w:rPr>
          <w:rStyle w:val="NormalTok"/>
        </w:rPr>
        <w:t xml:space="preserve"> </w:t>
      </w:r>
      <w:r>
        <w:rPr>
          <w:rStyle w:val="OtherTok"/>
        </w:rPr>
        <w:t>FALSE</w:t>
      </w:r>
      <w:r>
        <w:rPr>
          <w:rStyle w:val="NormalTok"/>
        </w:rPr>
        <w:t xml:space="preserve">, </w:t>
      </w:r>
      <w:r>
        <w:rPr>
          <w:rStyle w:val="DataTypeTok"/>
        </w:rPr>
        <w:t>cache =</w:t>
      </w:r>
      <w:r>
        <w:rPr>
          <w:rStyle w:val="NormalTok"/>
        </w:rPr>
        <w:t xml:space="preserve"> </w:t>
      </w:r>
      <w:r>
        <w:rPr>
          <w:rStyle w:val="OtherTok"/>
        </w:rPr>
        <w:t>NULL</w:t>
      </w:r>
      <w:r>
        <w:rPr>
          <w:rStyle w:val="NormalTok"/>
        </w:rPr>
        <w:t>)</w:t>
      </w:r>
      <w:r>
        <w:br/>
      </w:r>
      <w:r>
        <w:rPr>
          <w:rStyle w:val="NormalTok"/>
        </w:rPr>
        <w:t>gdp_deflated =</w:t>
      </w:r>
      <w:r>
        <w:rPr>
          <w:rStyle w:val="StringTok"/>
        </w:rPr>
        <w:t xml:space="preserve"> </w:t>
      </w:r>
      <w:r>
        <w:rPr>
          <w:rStyle w:val="KeywordTok"/>
        </w:rPr>
        <w:t>left_join</w:t>
      </w:r>
      <w:r>
        <w:rPr>
          <w:rStyle w:val="NormalTok"/>
        </w:rPr>
        <w:t>(</w:t>
      </w:r>
      <w:r>
        <w:rPr>
          <w:rStyle w:val="DataTypeTok"/>
        </w:rPr>
        <w:t>x=</w:t>
      </w:r>
      <w:r>
        <w:rPr>
          <w:rStyle w:val="NormalTok"/>
        </w:rPr>
        <w:t>gdp_current,</w:t>
      </w:r>
      <w:r>
        <w:br/>
      </w:r>
      <w:r>
        <w:rPr>
          <w:rStyle w:val="NormalTok"/>
        </w:rPr>
        <w:t xml:space="preserve">                          </w:t>
      </w:r>
      <w:r>
        <w:rPr>
          <w:rStyle w:val="DataTypeTok"/>
        </w:rPr>
        <w:t>y=</w:t>
      </w:r>
      <w:r>
        <w:rPr>
          <w:rStyle w:val="NormalTok"/>
        </w:rPr>
        <w:t>deflator_data,</w:t>
      </w:r>
      <w:r>
        <w:br/>
      </w:r>
      <w:r>
        <w:rPr>
          <w:rStyle w:val="NormalTok"/>
        </w:rPr>
        <w:t xml:space="preserve">                          </w:t>
      </w:r>
      <w:r>
        <w:rPr>
          <w:rStyle w:val="DataTypeTok"/>
        </w:rPr>
        <w:t>by=</w:t>
      </w:r>
      <w:r>
        <w:rPr>
          <w:rStyle w:val="NormalTok"/>
        </w:rPr>
        <w:t xml:space="preserve"> </w:t>
      </w:r>
      <w:r>
        <w:rPr>
          <w:rStyle w:val="StringTok"/>
        </w:rPr>
        <w:t>"country"</w:t>
      </w:r>
      <w:r>
        <w:rPr>
          <w:rStyle w:val="NormalTok"/>
        </w:rPr>
        <w:t>)</w:t>
      </w:r>
      <w:r>
        <w:br/>
      </w:r>
      <w:r>
        <w:rPr>
          <w:rStyle w:val="CommentTok"/>
        </w:rPr>
        <w:t>#deflating</w:t>
      </w:r>
      <w:r>
        <w:br/>
      </w:r>
      <w:r>
        <w:rPr>
          <w:rStyle w:val="NormalTok"/>
        </w:rPr>
        <w:t>gdp_deflated</w:t>
      </w:r>
      <w:r>
        <w:rPr>
          <w:rStyle w:val="OperatorTok"/>
        </w:rPr>
        <w:t>$</w:t>
      </w:r>
      <w:r>
        <w:rPr>
          <w:rStyle w:val="NormalTok"/>
        </w:rPr>
        <w:t>deflated_amount =</w:t>
      </w:r>
      <w:r>
        <w:rPr>
          <w:rStyle w:val="StringTok"/>
        </w:rPr>
        <w:t xml:space="preserve"> </w:t>
      </w:r>
      <w:r>
        <w:rPr>
          <w:rStyle w:val="NormalTok"/>
        </w:rPr>
        <w:t>gdp_deflated</w:t>
      </w:r>
      <w:r>
        <w:rPr>
          <w:rStyle w:val="OperatorTok"/>
        </w:rPr>
        <w:t>$</w:t>
      </w:r>
      <w:r>
        <w:rPr>
          <w:rStyle w:val="NormalTok"/>
        </w:rPr>
        <w:t>current_amount</w:t>
      </w:r>
      <w:r>
        <w:rPr>
          <w:rStyle w:val="OperatorTok"/>
        </w:rPr>
        <w:t>/</w:t>
      </w:r>
      <w:r>
        <w:br/>
      </w:r>
      <w:r>
        <w:rPr>
          <w:rStyle w:val="StringTok"/>
        </w:rPr>
        <w:t xml:space="preserve">                                </w:t>
      </w:r>
      <w:r>
        <w:rPr>
          <w:rStyle w:val="NormalTok"/>
        </w:rPr>
        <w:t>(gdp_deflated</w:t>
      </w:r>
      <w:r>
        <w:rPr>
          <w:rStyle w:val="OperatorTok"/>
        </w:rPr>
        <w:t>$</w:t>
      </w:r>
      <w:r>
        <w:rPr>
          <w:rStyle w:val="NormalTok"/>
        </w:rPr>
        <w:t>deflator</w:t>
      </w:r>
      <w:r>
        <w:rPr>
          <w:rStyle w:val="OperatorTok"/>
        </w:rPr>
        <w:t>/</w:t>
      </w:r>
      <w:r>
        <w:rPr>
          <w:rStyle w:val="DecValTok"/>
        </w:rPr>
        <w:t>100</w:t>
      </w:r>
      <w:r>
        <w:rPr>
          <w:rStyle w:val="NormalTok"/>
        </w:rPr>
        <w:t>)</w:t>
      </w:r>
    </w:p>
    <w:p w14:paraId="49588E3F" w14:textId="77777777" w:rsidR="000B6C49" w:rsidRDefault="0009276C">
      <w:pPr>
        <w:pStyle w:val="SourceCode"/>
      </w:pPr>
      <w:r>
        <w:rPr>
          <w:rStyle w:val="VerbatimChar"/>
        </w:rPr>
        <w:t>## Error in `$&lt;-.data.frame`(`*tmp*`, deflated_amount, value = numeric(0)): replacement has 0 rows, data has 528</w:t>
      </w:r>
    </w:p>
    <w:p w14:paraId="6555F1CF" w14:textId="77777777" w:rsidR="000B6C49" w:rsidRDefault="0009276C">
      <w:pPr>
        <w:numPr>
          <w:ilvl w:val="0"/>
          <w:numId w:val="10"/>
        </w:numPr>
      </w:pPr>
      <w:r>
        <w:t>The three main components of a shiny</w:t>
      </w:r>
      <w:r>
        <w:t xml:space="preserve"> app are the user interface, server, and then execution of the app. The user interface involves inputs and outputs, the server involves what R should do with everything you can included in the ouputs. Finally, the execution app runs the app and creates it,</w:t>
      </w:r>
      <w:r>
        <w:t xml:space="preserve"> and then you can upload it or utillize it.</w:t>
      </w:r>
    </w:p>
    <w:p w14:paraId="2D2A73C2" w14:textId="77777777" w:rsidR="000B6C49" w:rsidRDefault="0009276C">
      <w:pPr>
        <w:numPr>
          <w:ilvl w:val="0"/>
          <w:numId w:val="10"/>
        </w:numPr>
      </w:pPr>
      <w:r>
        <w:t>Reading in pdf file from web</w:t>
      </w:r>
    </w:p>
    <w:p w14:paraId="50A79FFC" w14:textId="77777777" w:rsidR="000B6C49" w:rsidRDefault="0009276C">
      <w:pPr>
        <w:pStyle w:val="SourceCode"/>
      </w:pPr>
      <w:r>
        <w:rPr>
          <w:rStyle w:val="KeywordTok"/>
        </w:rPr>
        <w:t>library</w:t>
      </w:r>
      <w:r>
        <w:rPr>
          <w:rStyle w:val="NormalTok"/>
        </w:rPr>
        <w:t>(pdftools)</w:t>
      </w:r>
    </w:p>
    <w:p w14:paraId="49B15D77" w14:textId="77777777" w:rsidR="000B6C49" w:rsidRDefault="0009276C">
      <w:pPr>
        <w:pStyle w:val="SourceCode"/>
      </w:pPr>
      <w:r>
        <w:rPr>
          <w:rStyle w:val="VerbatimChar"/>
        </w:rPr>
        <w:t>## Using poppler version 0.73.0</w:t>
      </w:r>
    </w:p>
    <w:p w14:paraId="345B6CAE" w14:textId="77777777" w:rsidR="000B6C49" w:rsidRDefault="0009276C">
      <w:pPr>
        <w:pStyle w:val="SourceCode"/>
      </w:pPr>
      <w:r>
        <w:rPr>
          <w:rStyle w:val="KeywordTok"/>
        </w:rPr>
        <w:t>library</w:t>
      </w:r>
      <w:r>
        <w:rPr>
          <w:rStyle w:val="NormalTok"/>
        </w:rPr>
        <w:t>(tidyr)</w:t>
      </w:r>
      <w:r>
        <w:br/>
      </w:r>
      <w:r>
        <w:rPr>
          <w:rStyle w:val="KeywordTok"/>
        </w:rPr>
        <w:t>library</w:t>
      </w:r>
      <w:r>
        <w:rPr>
          <w:rStyle w:val="NormalTok"/>
        </w:rPr>
        <w:t>(tidytext)</w:t>
      </w:r>
      <w:r>
        <w:br/>
      </w:r>
      <w:r>
        <w:rPr>
          <w:rStyle w:val="KeywordTok"/>
        </w:rPr>
        <w:t>library</w:t>
      </w:r>
      <w:r>
        <w:rPr>
          <w:rStyle w:val="NormalTok"/>
        </w:rPr>
        <w:t>(dplyr)</w:t>
      </w:r>
      <w:r>
        <w:br/>
      </w:r>
      <w:r>
        <w:rPr>
          <w:rStyle w:val="KeywordTok"/>
        </w:rPr>
        <w:t>library</w:t>
      </w:r>
      <w:r>
        <w:rPr>
          <w:rStyle w:val="NormalTok"/>
        </w:rPr>
        <w:t>(stringr)</w:t>
      </w:r>
      <w:r>
        <w:br/>
      </w:r>
      <w:r>
        <w:rPr>
          <w:rStyle w:val="KeywordTok"/>
        </w:rPr>
        <w:t>library</w:t>
      </w:r>
      <w:r>
        <w:rPr>
          <w:rStyle w:val="NormalTok"/>
        </w:rPr>
        <w:t>(ggplot2)</w:t>
      </w:r>
      <w:r>
        <w:br/>
      </w:r>
      <w:r>
        <w:rPr>
          <w:rStyle w:val="NormalTok"/>
        </w:rPr>
        <w:t>mytext=</w:t>
      </w:r>
      <w:r>
        <w:rPr>
          <w:rStyle w:val="KeywordTok"/>
        </w:rPr>
        <w:t>pdf_text</w:t>
      </w:r>
      <w:r>
        <w:rPr>
          <w:rStyle w:val="NormalTok"/>
        </w:rPr>
        <w:t>(</w:t>
      </w:r>
      <w:r>
        <w:rPr>
          <w:rStyle w:val="DataTypeTok"/>
        </w:rPr>
        <w:t>pdf =</w:t>
      </w:r>
      <w:r>
        <w:br/>
      </w:r>
      <w:r>
        <w:rPr>
          <w:rStyle w:val="StringTok"/>
        </w:rPr>
        <w:t>"https://pdf.usaid.gov/pdf_docs/PA00TNMG.pdf"</w:t>
      </w:r>
      <w:r>
        <w:rPr>
          <w:rStyle w:val="NormalTok"/>
        </w:rPr>
        <w:t>)</w:t>
      </w:r>
    </w:p>
    <w:p w14:paraId="32652FDF" w14:textId="77777777" w:rsidR="000B6C49" w:rsidRDefault="0009276C">
      <w:pPr>
        <w:pStyle w:val="Compact"/>
        <w:numPr>
          <w:ilvl w:val="0"/>
          <w:numId w:val="11"/>
        </w:numPr>
      </w:pPr>
      <w:r>
        <w:lastRenderedPageBreak/>
        <w:t>Converting to data frame called armeniatext</w:t>
      </w:r>
    </w:p>
    <w:p w14:paraId="6EEA3DA0" w14:textId="77777777" w:rsidR="000B6C49" w:rsidRDefault="0009276C">
      <w:pPr>
        <w:pStyle w:val="SourceCode"/>
      </w:pPr>
      <w:r>
        <w:rPr>
          <w:rStyle w:val="NormalTok"/>
        </w:rPr>
        <w:t>mytext</w:t>
      </w:r>
    </w:p>
    <w:p w14:paraId="2B4B0522" w14:textId="77777777" w:rsidR="000B6C49" w:rsidRDefault="0009276C">
      <w:pPr>
        <w:pStyle w:val="SourceCode"/>
      </w:pPr>
      <w:r>
        <w:rPr>
          <w:rStyle w:val="VerbatimChar"/>
        </w:rPr>
        <w:t>##  [1] "                                                                                                                                  PHOTO BY SEROUJ OURISHIAN\r\nGOVERNANCE IN ARMENIA\r\nAn Evidence Review for Learning, Evaluation and\r\nResearch Act</w:t>
      </w:r>
      <w:r>
        <w:rPr>
          <w:rStyle w:val="VerbatimChar"/>
        </w:rPr>
        <w:t xml:space="preserve">ivity II (LER II)\r\nJANUARY 2019\r\nDISCLAIMER: The authors' views expressed in this publication do not necessarily reflect the views of the United States Agency for\r\nInternational Development or the United States Government.\r\n"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[2] "This document was produced for review by the United States Agency for Inter</w:t>
      </w:r>
      <w:r>
        <w:rPr>
          <w:rStyle w:val="VerbatimChar"/>
        </w:rPr>
        <w:t>national Development,\r\nDemocracy, Human Rights and Governance Center under the Learning, Evaluation and Research\r\nActivity II (LER II) contract: GS10F0218U/7200AA18M00017.\r\nPrepared by:\r\nThe Cloudburst Group\r\n8400 Corporate Drive, Suite 550\r\nLa</w:t>
      </w:r>
      <w:r>
        <w:rPr>
          <w:rStyle w:val="VerbatimChar"/>
        </w:rPr>
        <w:t xml:space="preserve">ndover, MD 20785-2238\r\nTel: 301-918-4400\r\n"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 "CONTENTS\r\n1.      EXECUTIVE SUMMARY                                            1\r\n2.      GOVERNANCE EVIDENCE REVIEW                                   3\r\</w:t>
      </w:r>
      <w:r>
        <w:rPr>
          <w:rStyle w:val="VerbatimChar"/>
        </w:rPr>
        <w:t xml:space="preserve">n   2.1.   GOVERNANCE, DEMOCRACY, AND ARMENIA: AN OVERVIEW            3\r\n   2.2.   CONSOLIDATION OF STATE INSTITUTIONS                        7\r\n   2.3.   SERVICE DELIVERY                                          17\r\n   2.4.   CIVIL SERVICE REFORM   </w:t>
      </w:r>
      <w:r>
        <w:rPr>
          <w:rStyle w:val="VerbatimChar"/>
        </w:rPr>
        <w:t xml:space="preserve">                                   24\r\n   2.5.   MISCELLANEOUS FACTORS THAT CONTRIBUTE TO GOVERNANCE       29\r\n   2.6.   CONCLUSION                                                31\r\n3.      ANALYSIS OF ARMENIAN V-DEM GOVERNANCE INDICATORS           </w:t>
      </w:r>
      <w:r>
        <w:rPr>
          <w:rStyle w:val="VerbatimChar"/>
        </w:rPr>
        <w:t xml:space="preserve"> 33\r\n   3.1.   INTRODUCTION                                              33\r\n   3.2.   OVERALL MEASURES FOR ARMENIA                              33\r\n   3.3.   JUDICIARY                                                 35\r\n   3.4.   LIBERAL DEMOCRACY</w:t>
      </w:r>
      <w:r>
        <w:rPr>
          <w:rStyle w:val="VerbatimChar"/>
        </w:rPr>
        <w:t xml:space="preserve">                                         36\r\n   3.5.   CORRUPTION IN ARMENIA                                     37\r\n   3.6.   DEMOCRACY &amp; CORRUPTION ACROSS COUNTRIES                   38\r\n   3.7.   COMPARING V-DEM TO POLITY (WITH FREEDOM HOUSE IMPUT</w:t>
      </w:r>
      <w:r>
        <w:rPr>
          <w:rStyle w:val="VerbatimChar"/>
        </w:rPr>
        <w:t xml:space="preserve">ATION) 40\r\n   3.8.   CONCLUSION                                                41\r\n4.      REFERENCES                                                  42\r\n"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 "  1.        EXECUTIVE SUMMARY1\r\nThis report contains a Governance sector evidence review and an analysis of governance indicators\r\nfrom the Varieties of Democracy (V-Dem) dataset.\r\nThe evidence review begins by defining governance, makin</w:t>
      </w:r>
      <w:r>
        <w:rPr>
          <w:rStyle w:val="VerbatimChar"/>
        </w:rPr>
        <w:t>g appropriate distinctions with democracy,\r\nand providing background on Armenia and relevant regional comparisons. Consistent with guidance\r\nfrom the USAID Armenia Mission, we then turn to three key issue areas—the consolidation of state\r\ninstitution</w:t>
      </w:r>
      <w:r>
        <w:rPr>
          <w:rStyle w:val="VerbatimChar"/>
        </w:rPr>
        <w:t>s, service delivery, and civil service reform—with appropriate attention to regional transitional\r\nexperiences as well as policy formulation processes. The analysis of V-Dem data displays and discusses\r\ndescriptive trends in Armenian governance and dem</w:t>
      </w:r>
      <w:r>
        <w:rPr>
          <w:rStyle w:val="VerbatimChar"/>
        </w:rPr>
        <w:t>ocracy (Lindberg et al., 2014). Specifically, the V-\r\nDem analysis covers measures and sub-measures of electoral democracy, the judiciary, liberal\r\ndemocracy, and corruption in Armenia over time. Additionally, the document compares Armenia’s\r\nelector</w:t>
      </w:r>
      <w:r>
        <w:rPr>
          <w:rStyle w:val="VerbatimChar"/>
        </w:rPr>
        <w:t xml:space="preserve">al democracy scores to those of other countries in the region, including Georgia, Ukraine,\r\nMoldova, and Kyrgyzstan.\r\nOn an institutional level, we note </w:t>
      </w:r>
      <w:r>
        <w:rPr>
          <w:rStyle w:val="VerbatimChar"/>
        </w:rPr>
        <w:lastRenderedPageBreak/>
        <w:t>that there is reason for optimism in Armenia, given the parliamentary\r\nand proportional represent</w:t>
      </w:r>
      <w:r>
        <w:rPr>
          <w:rStyle w:val="VerbatimChar"/>
        </w:rPr>
        <w:t xml:space="preserve">ation institutions Armenia has established. While not guaranteed, there is\r\nmuch scholarly consensus that these institutional features are the best among the available alternatives.\r\nTurning to factors that may be more easily manipulated in the short- </w:t>
      </w:r>
      <w:r>
        <w:rPr>
          <w:rStyle w:val="VerbatimChar"/>
        </w:rPr>
        <w:t>to medium-term, both by the\r\ngovernment or international assistance providers, we identify lessons learned:\r\n• Consolidation of State Institutions\r\n    - Exercise caution in moving forward with decentralization. There is cause for concern about the\r</w:t>
      </w:r>
      <w:r>
        <w:rPr>
          <w:rStyle w:val="VerbatimChar"/>
        </w:rPr>
        <w:t>\n        efficacy of decentralization, though we have identified both the promise and pitfalls of a\r\n        decentralization approach.\r\n    - Address petty corruption, and carefully phase-in efforts to address higher-level corruption.\r\n    - Contin</w:t>
      </w:r>
      <w:r>
        <w:rPr>
          <w:rStyle w:val="VerbatimChar"/>
        </w:rPr>
        <w:t xml:space="preserve">ue with e-governance in an effort to streamline many institutional functions.\r\n    - Good institutional reform does not entail exporting the right strategy from one context and using\r\n        it in another one. Instead, good institutional reform first </w:t>
      </w:r>
      <w:r>
        <w:rPr>
          <w:rStyle w:val="VerbatimChar"/>
        </w:rPr>
        <w:t xml:space="preserve">builds off robust political economy\r\n        analysis to inform feasible action. Robust political economy analysis should not only make use of\r\n        traditional indicators but also the dimensions of the political settlements framework, paying\r\n   </w:t>
      </w:r>
      <w:r>
        <w:rPr>
          <w:rStyle w:val="VerbatimChar"/>
        </w:rPr>
        <w:t xml:space="preserve">     particular attention to the implementation concerns stressed by the Problem-Driven Iterative\r\n        Adaptation (PDIA) approach. Thus, institutional reform is not about grand plans or overarching\r\n        solutions but about gradually undertaking</w:t>
      </w:r>
      <w:r>
        <w:rPr>
          <w:rStyle w:val="VerbatimChar"/>
        </w:rPr>
        <w:t xml:space="preserve"> reforms that are suitable to particular contexts.\r\n1 This Evidence Review was prepared by Michael Denly, Michael Findley, John Gerring, and Rachel Wellhausen, all affiliated with\r\nthe University of Texas at Austin. We would like to thank the following</w:t>
      </w:r>
      <w:r>
        <w:rPr>
          <w:rStyle w:val="VerbatimChar"/>
        </w:rPr>
        <w:t xml:space="preserve"> Research Affiliates at the University of Texas at\r\nAustin’s Innovations for Peace and Development for research assistance: Rachel Boles, Evelin Caro Gutierrez, Erica Colston,\r\nHannah Greer, Paige Johnson, Judy Lane, Amanda Long, Amila Lulo, Felipa Men</w:t>
      </w:r>
      <w:r>
        <w:rPr>
          <w:rStyle w:val="VerbatimChar"/>
        </w:rPr>
        <w:t xml:space="preserve">dez, Tyler Morrow, Tomilayo Ogungbamigbe,\r\nMobin Piracha, JP Repetto, Ethan Tenison, Adityamohan Tantravahi, and Luisa Venegoni.\r\nUSAID.GOV                                                           GOVERNANCE IN ARMENIA: AN EVIDENCE REVIEW             </w:t>
      </w:r>
      <w:r>
        <w:rPr>
          <w:rStyle w:val="VerbatimChar"/>
        </w:rPr>
        <w:t xml:space="preserve"> |   1\r\n"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 "• Service Delivery\r\n   - Participatory programs are likely to be bene</w:t>
      </w:r>
      <w:r>
        <w:rPr>
          <w:rStyle w:val="VerbatimChar"/>
        </w:rPr>
        <w:t xml:space="preserve">ficial both for governance and citizen-level satisfaction\r\n      with more democracy following Armenia’s political transition. Promising potential interventions\r\n      include opening more citizen service centers and improving the efficacy of existing </w:t>
      </w:r>
      <w:r>
        <w:rPr>
          <w:rStyle w:val="VerbatimChar"/>
        </w:rPr>
        <w:t>ones, as well as\r\n      perhaps initiating some combination of the following: participatory/open budgeting, right to\r\n      information laws, grievance redress mechanisms, hotlines, social audits, and the introduction of\r\n      social programs. All p</w:t>
      </w:r>
      <w:r>
        <w:rPr>
          <w:rStyle w:val="VerbatimChar"/>
        </w:rPr>
        <w:t>otential interventions should have some form of an e-governance\r\n      component.\r\n• Civil Service Reform\r\n   - Armenia should be cautious about following Georgia’s “big bang” approach to civil service reform,\r\n      especially given former Georgia</w:t>
      </w:r>
      <w:r>
        <w:rPr>
          <w:rStyle w:val="VerbatimChar"/>
        </w:rPr>
        <w:t>n President Mikhail Saakashvili’s failure to adequately tackle\r\n      corruption when he subsequently served as Governor of Odessa and advisor to President\r\n      Poroshenko in Ukraine.\r\n   - Armenia could also pursue some relatively new intervention</w:t>
      </w:r>
      <w:r>
        <w:rPr>
          <w:rStyle w:val="VerbatimChar"/>
        </w:rPr>
        <w:t xml:space="preserve">s, including random inspections for\r\n      petty corruption, more e-government (e.g. biometric smart cards), testing for pro-social\r\n      motivations when hiring (but quietly), performance-based postings, and transparency in hiring and\r\n      </w:t>
      </w:r>
      <w:r>
        <w:rPr>
          <w:rStyle w:val="VerbatimChar"/>
        </w:rPr>
        <w:lastRenderedPageBreak/>
        <w:t xml:space="preserve">civil </w:t>
      </w:r>
      <w:r>
        <w:rPr>
          <w:rStyle w:val="VerbatimChar"/>
        </w:rPr>
        <w:t>servants’ tax records.\r\n• Comparisons and Process\r\n   - Regional comparisons are helpful but need to be considered carefully. Georgia, for example, offers\r\n      a model for e-governance reforms and addressing petty corruption, but is likely differen</w:t>
      </w:r>
      <w:r>
        <w:rPr>
          <w:rStyle w:val="VerbatimChar"/>
        </w:rPr>
        <w:t>t than\r\n      Armenia concerning timing and scale.\r\n   - Reforms are likely to be most successful if they proceed at a moderate pace and do not alienate\r\n      important players—even if those important players ultimately impede efforts to achieve goo</w:t>
      </w:r>
      <w:r>
        <w:rPr>
          <w:rStyle w:val="VerbatimChar"/>
        </w:rPr>
        <w:t xml:space="preserve">d\r\n      governance.\r\nUSAID.GOV                                                GOVERNANCE IN ARMENIA: AN EVIDENCE REVIEW     |  2\r\n"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 "  2.       GOVERNANCE EVIDENCE REVIEW\r\n  2.1.       GOVERNANCE, DEMOCRACY, AND ARMENIA: AN OVERVIEW\r\nBefore delving into to the specifics of governance</w:t>
      </w:r>
      <w:r>
        <w:rPr>
          <w:rStyle w:val="VerbatimChar"/>
        </w:rPr>
        <w:t xml:space="preserve"> in Armenia, it is important to define the overarching\r\nconcepts of governance and democracy, and explain how they relate, especially given that practitioners\r\nand scholars alike sometimes conflate them. In doing so, we preview which governance-related</w:t>
      </w:r>
      <w:r>
        <w:rPr>
          <w:rStyle w:val="VerbatimChar"/>
        </w:rPr>
        <w:t xml:space="preserve"> topics\r\nwe consider to be salient for in Armenia, topics that we examine in further detail in later sections.\r\nGovernance is a regime-neutral 2 process that encompasses states’ abilities to (1) make, implement, and\r\nenforce informal and formal rules</w:t>
      </w:r>
      <w:r>
        <w:rPr>
          <w:rStyle w:val="VerbatimChar"/>
        </w:rPr>
        <w:t xml:space="preserve"> and laws; and (2) deliver public goods and services to their citizens\r\n(Fukuyama, 2013; Mann, 1984). 3 In line with the 2017 World Development Report on Governance and the Law,\r\ngood governance is also not only a feature of capable public administrati</w:t>
      </w:r>
      <w:r>
        <w:rPr>
          <w:rStyle w:val="VerbatimChar"/>
        </w:rPr>
        <w:t>on but also a proper balance of power\r\nbetween state and nonstate actors, including citizens, elites, and civil society (World Bank, 2017b, 3). In\r\nthis Governance Evidence Review for Armenia, we devote particular attention to the consolidation of\r\ns</w:t>
      </w:r>
      <w:r>
        <w:rPr>
          <w:rStyle w:val="VerbatimChar"/>
        </w:rPr>
        <w:t>tate institutions, public goods/service delivery, and the civil service, all of which accord with Fukuyama’s\r\n(2013) conceptualization of governance.\r\nWhereas governance primarily concerns the implementation of rules/laws and public goods/service deliv</w:t>
      </w:r>
      <w:r>
        <w:rPr>
          <w:rStyle w:val="VerbatimChar"/>
        </w:rPr>
        <w:t>ery,\r\nat its core democracy entails “fully contested elections with full suffrage and the absence of massive\r\nfraud, combined with effective guarantees of civil liberties, including freedom of speech, assembly, and\r\nassociation” (Collier and Levitsky</w:t>
      </w:r>
      <w:r>
        <w:rPr>
          <w:rStyle w:val="VerbatimChar"/>
        </w:rPr>
        <w:t>, 1997, 434). 4 Armenia’s recent shift from a semi-presidential system\r\n(Markarov, 2016) to parliamentary system, vibrant civil society, and its recent political transition of April\r\n2018 notably raise the possibility of a shift to a more fully democra</w:t>
      </w:r>
      <w:r>
        <w:rPr>
          <w:rStyle w:val="VerbatimChar"/>
        </w:rPr>
        <w:t>tic regime. These are among the\r\nreasons why The Economist named Armenia its country of the year for 2018 (The Economist, 2018).\r\nAlthough governance and democracy are conceptually distinct, 5 this Governance Evidence Review draws\r\nfrom the democracy</w:t>
      </w:r>
      <w:r>
        <w:rPr>
          <w:rStyle w:val="VerbatimChar"/>
        </w:rPr>
        <w:t xml:space="preserve"> literature for multiple reasons. Notably, democracies outperform autocracies in\r\nproviding public goods and services, including in health, education, environmental protection, nutrition,\r\nroad infrastructure, and electricity (Lake and Baum, 2001; Buen</w:t>
      </w:r>
      <w:r>
        <w:rPr>
          <w:rStyle w:val="VerbatimChar"/>
        </w:rPr>
        <w:t>o de Mesquita et al., 2003; Bernauer and\r\nKoubi, 2009; Burgess et al., 2015; Blaydes and Kayser, 2011; Min, 2015; Lizzeri and Persico, 2004; Cao and\r\nWard, 2015; Harding and Stasavage, 2014; Besley and Kudamatsu, 2006; Kudamatsu, 2012). 6 As\r\ncompare</w:t>
      </w:r>
      <w:r>
        <w:rPr>
          <w:rStyle w:val="VerbatimChar"/>
        </w:rPr>
        <w:t>d to autocracies, democracies also facilitate more citizen-level collective action and transparency of\r\ninformation that can contribute to more equitable rule implementation and policies (Acemoglu and\r\nRobinson, 2006; Hollyer, Rosendorff, and Vreeland,</w:t>
      </w:r>
      <w:r>
        <w:rPr>
          <w:rStyle w:val="VerbatimChar"/>
        </w:rPr>
        <w:t xml:space="preserve"> 2018; Pande, 2011). Although Armenia </w:t>
      </w:r>
      <w:r>
        <w:rPr>
          <w:rStyle w:val="VerbatimChar"/>
        </w:rPr>
        <w:lastRenderedPageBreak/>
        <w:t>has low\r\ncitizen-level satisfaction with government institutions and service delivery, the country boasts a highly\r\neducated and cohesive population with a penchant for effective protest—attributes that facilitate\</w:t>
      </w:r>
      <w:r>
        <w:rPr>
          <w:rStyle w:val="VerbatimChar"/>
        </w:rPr>
        <w:t>r\n2 By “regime-neutral” we mean that governance and democracy are not the same (see Fukuyama, 2013; Nooruddin,\r\n2009).\r\n3 Governance can also mean “international cooperation of nonsovereign bodies outside the state system\r\n(international/[global] go</w:t>
      </w:r>
      <w:r>
        <w:rPr>
          <w:rStyle w:val="VerbatimChar"/>
        </w:rPr>
        <w:t>vernance)” and “the regulation of social behavior through networks and other\r\nnonhierarchical mechanisms (governing without government)” (Fukuyama, 2016, 89). Both international governance\r\nand governing without government fall outside the scope of thi</w:t>
      </w:r>
      <w:r>
        <w:rPr>
          <w:rStyle w:val="VerbatimChar"/>
        </w:rPr>
        <w:t>s Evidence Review.\r\n4 The Collier and Levitsky (1997, 434) procedural minimum definition of democracy is far from the only one in the\r\nliterature. For more information, readers should consult, inter alia, Schmitter and Karl (1991) and Lindberg et al.\r</w:t>
      </w:r>
      <w:r>
        <w:rPr>
          <w:rStyle w:val="VerbatimChar"/>
        </w:rPr>
        <w:t>\n(2014).\r\n5 For a discussion, see Fukuyama (2013) and Nooruddin (2009).\r\n6 Ross (2006) finds that democracies are not superior in preventing infant mortality, but Kudamatsu (2012) suggests\r\nthat the finding is not robust to the inclusion of variable</w:t>
      </w:r>
      <w:r>
        <w:rPr>
          <w:rStyle w:val="VerbatimChar"/>
        </w:rPr>
        <w:t xml:space="preserve">s that Ross (2006) omits.\r\nUSAID.GOV                                                          GOVERNANCE IN ARMENIA: AN EVIDENCE REVIEW      | 3\r\n"                                                                                                         </w:t>
      </w:r>
      <w:r>
        <w:rPr>
          <w:rStyle w:val="VerbatimChar"/>
        </w:rPr>
        <w:t xml:space="preserve">                                                                                                                                                                                                                                                                </w:t>
      </w:r>
      <w:r>
        <w:rPr>
          <w:rStyle w:val="VerbatimChar"/>
        </w:rPr>
        <w:t xml:space="preserve">                                                                                                                                                                                                                                                                </w:t>
      </w:r>
      <w:r>
        <w:rPr>
          <w:rStyle w:val="VerbatimChar"/>
        </w:rPr>
        <w:t xml:space="preserve">       </w:t>
      </w:r>
      <w:r>
        <w:br/>
      </w:r>
      <w:r>
        <w:rPr>
          <w:rStyle w:val="VerbatimChar"/>
        </w:rPr>
        <w:t>##  [7] "governance and democratic consolidation (Andresyan and Derlugian 2015; EBRD; 2016; UNESCO,\r\n2018; Derlugian and Hovhannisyan, 2018).\r\nDespite the above governance-related advantages of democracies over autocracies, democracies are not\</w:t>
      </w:r>
      <w:r>
        <w:rPr>
          <w:rStyle w:val="VerbatimChar"/>
        </w:rPr>
        <w:t>r\nnecessarily superior in all dimensions of governance. One set of challenges for young democracies such as\r\nArmenia, in particular, concerns the credibility of politicians’ policy promises and the unbiased application of\r\nthe rule of law (Keefer, 200</w:t>
      </w:r>
      <w:r>
        <w:rPr>
          <w:rStyle w:val="VerbatimChar"/>
        </w:rPr>
        <w:t>7a,b; Keefer and Vlaicu, 2008; Scartascini et al., 2010; Brinks, Leiras and\r\nMainwaring, 2014; O’Donnell, 2004; Gehlbach and Keefer, 2011, Paturyan and Stefes, 2017). In their\r\nabsence, regimes notably suffer from the consequences of corruption (the mi</w:t>
      </w:r>
      <w:r>
        <w:rPr>
          <w:rStyle w:val="VerbatimChar"/>
        </w:rPr>
        <w:t>suse of public office for private\r\ngain), clientelism (the exchange of resources, services, and jobs for political support), low horizontal\r\naccountability (inability of the bureaucracy to keep checks on its itself), 7 and low vertical accountability\r</w:t>
      </w:r>
      <w:r>
        <w:rPr>
          <w:rStyle w:val="VerbatimChar"/>
        </w:rPr>
        <w:t>\n(citizens do not elect politicians who enhance their welfare). In the young democracy of Armenia, all of these\r\nfeatures constitute particular challenges or risks (Paturyan and Stefes, 2017), which we address below.\r\nThe abilities of bureaucracies to</w:t>
      </w:r>
      <w:r>
        <w:rPr>
          <w:rStyle w:val="VerbatimChar"/>
        </w:rPr>
        <w:t xml:space="preserve"> consistently implement the will of those in power across a state’s\r\nterritory 8 is another area of governance in which democracies do not necessarily outperform\r\nautocracies. One reason is that a state’s overall bureaucratic implementation capacity is</w:t>
      </w:r>
      <w:r>
        <w:rPr>
          <w:rStyle w:val="VerbatimChar"/>
        </w:rPr>
        <w:t xml:space="preserve"> largely a\r\nfunction of its ability to maintain the “monopoly of violence.” 9 As is well-known, many autocracies have\r\nstrong militaries that are capable of quashing internal dissent and outside pressures. 10 As indicated by its\r\nloss of territory to</w:t>
      </w:r>
      <w:r>
        <w:rPr>
          <w:rStyle w:val="VerbatimChar"/>
        </w:rPr>
        <w:t xml:space="preserve"> Azerbaijan in 2016, Armenia’s military is rather weak, and elite co-optation hampers\r\nand defines the strength of the country’s bureaucracy (EBRD 2016; Derlugian and Hovhannisyan, 2018),\r\nThe final major dimension of governance concerns “embedded auto</w:t>
      </w:r>
      <w:r>
        <w:rPr>
          <w:rStyle w:val="VerbatimChar"/>
        </w:rPr>
        <w:t>nomy,” and democracies do not\r\nnecessarily outperform autocracies in terms of embedded autonomy either (Evans, 1995). Embedded\r\nautonomy comprises, first, the bureaucracy’s ability to hold a positive, symbiotic relationship with the\r\nprivate sector—t</w:t>
      </w:r>
      <w:r>
        <w:rPr>
          <w:rStyle w:val="VerbatimChar"/>
        </w:rPr>
        <w:t xml:space="preserve">hat is, to </w:t>
      </w:r>
      <w:r>
        <w:rPr>
          <w:rStyle w:val="VerbatimChar"/>
        </w:rPr>
        <w:lastRenderedPageBreak/>
        <w:t>design policies that facilitate economic growth, without resorting to\r\npatronage and favoritism. Second, embedded autonomy refers to the state’s ability to hold a\r\nmeritocratically recruited and capable civil service. Given that clientelism,</w:t>
      </w:r>
      <w:r>
        <w:rPr>
          <w:rStyle w:val="VerbatimChar"/>
        </w:rPr>
        <w:t xml:space="preserve"> corruption, and monopoly\r\ncharacterize Armenia’s public sector, the lack of embedded autonomy defines Armenia (Paturyan and\r\nStefes, 2017). With regard to the civil service, independence and lack of criteria in hiring are notable issues\r\n(OECD, 2011</w:t>
      </w:r>
      <w:r>
        <w:rPr>
          <w:rStyle w:val="VerbatimChar"/>
        </w:rPr>
        <w:t xml:space="preserve">), as are the country’s past inability to enact meaningful reforms, such as in policing\r\n(Shahnazarian and Light, 2018).\r\nARMENIA’S HISTORICAL, DEMOGRAPHIC, AND GEOPOLITICAL CONTEXT\r\nIn discussing the menu of governance options below with a specific </w:t>
      </w:r>
      <w:r>
        <w:rPr>
          <w:rStyle w:val="VerbatimChar"/>
        </w:rPr>
        <w:t>focus on the consolidation of state\r\ninstitutions, public goods/service delivery, and civil service reform, we make reference to the Armenian\r\ncontext throughout. Because we make sector-specific references, we first provide a brief overview of the\r\nA</w:t>
      </w:r>
      <w:r>
        <w:rPr>
          <w:rStyle w:val="VerbatimChar"/>
        </w:rPr>
        <w:t>rmenian context here. Given the direction to make region-specific comparisons, and in order for those\r\ncomparisons to be properly contextualized, in the next subsection we include background on four regional\r\ncomparison countries: Georgia, Ukraine, Mol</w:t>
      </w:r>
      <w:r>
        <w:rPr>
          <w:rStyle w:val="VerbatimChar"/>
        </w:rPr>
        <w:t>dova, and Kyrgyzstan.\r\n7 For a discussion, see O’Donnell (1998).\r\n8 A state’s capacity to implement its will across its territory is what Mann (1984) calls “infrastructural power”.\r\n9 When a state has the monopoly of violence, it means that it is the</w:t>
      </w:r>
      <w:r>
        <w:rPr>
          <w:rStyle w:val="VerbatimChar"/>
        </w:rPr>
        <w:t xml:space="preserve"> unique entity capable of legitimately exercising\r\nthe use of force in a whole territory (Weber, 1978). Challenges concerning the monopoly violence are not unique to\r\ndeveloping countries. For example, Colombia and Mexico, two current members of the OE</w:t>
      </w:r>
      <w:r>
        <w:rPr>
          <w:rStyle w:val="VerbatimChar"/>
        </w:rPr>
        <w:t>CD, continue to\r\nexperience monopoly of violence problems with factions that accumulate their power as a result of the drug trade.\r\n10 As Fukuyama (2011) recounts, drawing on Ancient China, bureaucracies found their origin in the military.\r\nUSAID.GOV</w:t>
      </w:r>
      <w:r>
        <w:rPr>
          <w:rStyle w:val="VerbatimChar"/>
        </w:rPr>
        <w:t xml:space="preserve">                                                          GOVERNANCE IN ARMENIA: AN EVIDENCE REVIEW       | 4\r\n"                                                                                                                                              </w:t>
      </w:r>
      <w:r>
        <w:rPr>
          <w:rStyle w:val="VerbatimChar"/>
        </w:rPr>
        <w:t xml:space="preserve">                                                                                                                                                                                                                                                                </w:t>
      </w:r>
      <w:r>
        <w:rPr>
          <w:rStyle w:val="VerbatimChar"/>
        </w:rPr>
        <w:t xml:space="preserve">                                                                                                                                                                                   </w:t>
      </w:r>
      <w:r>
        <w:br/>
      </w:r>
      <w:r>
        <w:rPr>
          <w:rStyle w:val="VerbatimChar"/>
        </w:rPr>
        <w:t>##  [8] "Armenia is a landlocked country in the Caucasus region of Central A</w:t>
      </w:r>
      <w:r>
        <w:rPr>
          <w:rStyle w:val="VerbatimChar"/>
        </w:rPr>
        <w:t>sia. In the modern era, Armenia first\r\ndeclared itself a republic in 1918, but this was short-lived. The Soviet Union annexed Armenia in 1922 and\r\nheld on until 1991, when Armenia achieved its independence. Today, about one-third of Armenia’s\r\nmono-e</w:t>
      </w:r>
      <w:r>
        <w:rPr>
          <w:rStyle w:val="VerbatimChar"/>
        </w:rPr>
        <w:t>thnic population of nearly 3 million people reside in the country’s capital of Yerevan.\r\nArmenia is a primarily Christian country, though its neighbors are mostly Muslim.\r\nThe geopolitical situation of Armenia is complex. Due to serious tensions with A</w:t>
      </w:r>
      <w:r>
        <w:rPr>
          <w:rStyle w:val="VerbatimChar"/>
        </w:rPr>
        <w:t xml:space="preserve">zerbaijan and Turkey,\r\nArmenia maintains closed borders with both countries. Competition with the Azerbaijan drove Armenian\r\nindependence more than its desire for democracy, and, in 2016, Armenia suffered some territorial\r\nlosses during its conflict </w:t>
      </w:r>
      <w:r>
        <w:rPr>
          <w:rStyle w:val="VerbatimChar"/>
        </w:rPr>
        <w:t>with Azerbaijan (Iskandaryan, 2012; Markarov, 2016). Armenia’s tense relationship\r\nwith Turkey dates back to the Ottoman Empire, when the Ottomans subjected Armenians to forced\r\nlabor and sent Armenians to the Syrian desert in less than humane conditio</w:t>
      </w:r>
      <w:r>
        <w:rPr>
          <w:rStyle w:val="VerbatimChar"/>
        </w:rPr>
        <w:t>ns. Although Turkey still\r\ndenies that an Armenian genocide took place, the issue remains very sensitive for both countries.\r\nWith its other neighbors, Georgia and Iran, Armenia has relatively positive relations. The same is true\r\nfor its near-neighb</w:t>
      </w:r>
      <w:r>
        <w:rPr>
          <w:rStyle w:val="VerbatimChar"/>
        </w:rPr>
        <w:t xml:space="preserve">or Russia, though the strength of the Russian alliance varies (Falkowski, 2016). Despite\r\nthat Iran and Russia are not in </w:t>
      </w:r>
      <w:r>
        <w:rPr>
          <w:rStyle w:val="VerbatimChar"/>
        </w:rPr>
        <w:lastRenderedPageBreak/>
        <w:t>the good graces of the West, maintaining strong relations with these\r\ncountries and Georgia is strategic for Armenia, especially s</w:t>
      </w:r>
      <w:r>
        <w:rPr>
          <w:rStyle w:val="VerbatimChar"/>
        </w:rPr>
        <w:t>ince it is dependent on them for energy. By\r\nthe same token, a large portion of Armenia’s wealthy, powerful, and engaged diaspora resides not only in\r\nthese countries but also, and especially, in the West. Thus, Armenia cannot abandon Western\r\nengage</w:t>
      </w:r>
      <w:r>
        <w:rPr>
          <w:rStyle w:val="VerbatimChar"/>
        </w:rPr>
        <w:t>ment, nor can the West disengage from Armenia. Perhaps due to its tortured geopolitical\r\nsituation, Armenia never clearly articulated NATO aspirations, whereas Georgia and Ukraine (two similar\r\ncases) both did. In terms of foreign policy, Armenia needs</w:t>
      </w:r>
      <w:r>
        <w:rPr>
          <w:rStyle w:val="VerbatimChar"/>
        </w:rPr>
        <w:t xml:space="preserve"> to balance Russia, Iran, and the West, which it\r\nhas carefully done.\r\nAll reports suggest that Armenian society is one of the world’s highest levels of social cohesion. 11 These\r\nhigh levels of social cohesion are likely a product of the genocide’s </w:t>
      </w:r>
      <w:r>
        <w:rPr>
          <w:rStyle w:val="VerbatimChar"/>
        </w:rPr>
        <w:t>effect on reinforcing group identity,\r\nthe ongoing war with Azerbaijan, a high level of linguistic and religious homogeneity, as well as a very\r\nsmall population and compact geographic territory. These factors bring Armenians together, and likely\r\nyi</w:t>
      </w:r>
      <w:r>
        <w:rPr>
          <w:rStyle w:val="VerbatimChar"/>
        </w:rPr>
        <w:t>eld much—although certainly not perfect—consensus on matters of politics.\r\nTHE REGIONAL CONTEXT: GEORGIA, UKRAINE, MOLDOVA, AND KYRGYZSTAN\r\nThroughout this report, we not only discuss Armenia, but also more general theoretical and empirical\r\nliteratu</w:t>
      </w:r>
      <w:r>
        <w:rPr>
          <w:rStyle w:val="VerbatimChar"/>
        </w:rPr>
        <w:t>re as well as region-specific experiences. In this section, we provide basic background on four\r\nregional comparisons, including why we chose these countries for comparison. In short, each of these\r\ncountries that underwent similar political transition</w:t>
      </w:r>
      <w:r>
        <w:rPr>
          <w:rStyle w:val="VerbatimChar"/>
        </w:rPr>
        <w:t>s, and prior to doing so looked reasonably similar to\r\nArmenia prior to April 2018. We detail these backgrounds and comparative figures for each.\r\nTaking into account that no two countries are identical, nor necessarily highly similar, when comparing t</w:t>
      </w:r>
      <w:r>
        <w:rPr>
          <w:rStyle w:val="VerbatimChar"/>
        </w:rPr>
        <w:t xml:space="preserve">o\r\nthe broader region, Georgia, Ukraine, Moldova, and Kyrgyzstan are among the best comparison countries. Like\r\nArmenia, these four regional countries underwent political transitions, and have attempted a variety of\r\ngovernance reforms – even if the </w:t>
      </w:r>
      <w:r>
        <w:rPr>
          <w:rStyle w:val="VerbatimChar"/>
        </w:rPr>
        <w:t>specific set of governance reforms varied across countries. Below we\r\nprovide some background on these countries from sources including V-Dem and O’Beacha´in and Polese\r\n(2010).\r\n11 Social cohesion refers to the “sticking-togetherness” of a community</w:t>
      </w:r>
      <w:r>
        <w:rPr>
          <w:rStyle w:val="VerbatimChar"/>
        </w:rPr>
        <w:t xml:space="preserve"> (Gross and Martin 1952, 553).\r\nUSAID.GOV                                                           GOVERNANCE IN ARMENIA: AN EVIDENCE REVIEW | 5\r\n"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[9] "To first illustrate                 Figure 1. Plotting Regional Democracy and Corruption Comparisons\r\nsimilarities, we plot their\r\ndemocracy and co</w:t>
      </w:r>
      <w:r>
        <w:rPr>
          <w:rStyle w:val="VerbatimChar"/>
        </w:rPr>
        <w:t>rruption\r\nvalues the year before each\r\nof these countries\r\nunderwent their respective\r\ntransitions. At the broadest\r\npossible level, Figure 1\r\nshows the democracy\r\ncomponents and\r\ncorruption scores based\r\non V-Dem’s 2017 values\r\n(Lindbe</w:t>
      </w:r>
      <w:r>
        <w:rPr>
          <w:rStyle w:val="VerbatimChar"/>
        </w:rPr>
        <w:t>rg et al., 2014)\r\n(Also see full V-Dem\r\nsection at the end of this\r\ndocument).\r\nTo give some sense for\r\nhow the political transition\r\naltered corruption in these\r\nfour comparison countries,\r\nTable 1 shows the corruption levels before and af</w:t>
      </w:r>
      <w:r>
        <w:rPr>
          <w:rStyle w:val="VerbatimChar"/>
        </w:rPr>
        <w:t>ter transition, with Armenia’s current levels also\r\nincluded.\r\nTABLE 1: POLITICAL TRANSITIONS AND CORRUPTION\r\n                       Start Year of     Corruption 5 Years Corruption at   Corruption 2       Corruption 5\r\n                       Politi</w:t>
      </w:r>
      <w:r>
        <w:rPr>
          <w:rStyle w:val="VerbatimChar"/>
        </w:rPr>
        <w:t xml:space="preserve">cal         Before Political   the Year of     Years After        Years After\r\n                       Transition        Transition         </w:t>
      </w:r>
      <w:r>
        <w:rPr>
          <w:rStyle w:val="VerbatimChar"/>
        </w:rPr>
        <w:lastRenderedPageBreak/>
        <w:t>Political       Political          Political\r\n                                                            Transit</w:t>
      </w:r>
      <w:r>
        <w:rPr>
          <w:rStyle w:val="VerbatimChar"/>
        </w:rPr>
        <w:t>ion      Transition         Transition\r\nGeorgia                2003              .93                .92             .31                .15\r\nUkraine                2004              .90                .84             .86                .88\r\nKyrgyzstan</w:t>
      </w:r>
      <w:r>
        <w:rPr>
          <w:rStyle w:val="VerbatimChar"/>
        </w:rPr>
        <w:t xml:space="preserve">             2005              .91                .94             .94                .91\r\nMoldova                2009              .79                .75             .69                .72\r\nArmenia                2018              .84                N/</w:t>
      </w:r>
      <w:r>
        <w:rPr>
          <w:rStyle w:val="VerbatimChar"/>
        </w:rPr>
        <w:t>A             N/A                N/A\r\nSource: Varieties of Democracy (V-Dem)\r\nGeorgia. In 2003, Georgia experienced its own political transition, in which President Eduard\r\nShevardnadze was ousted from power. Following this, Georgia attempted a serie</w:t>
      </w:r>
      <w:r>
        <w:rPr>
          <w:rStyle w:val="VerbatimChar"/>
        </w:rPr>
        <w:t>s of transitional reforms,\r\nboth domestically and in conjunction with inter- national engagement. Those reforms included a set of\r\nanti-corruption reforms: a national anti-corruption strategy, reform of the Chamber of Control of\r\nGeorgia (CCG), and c</w:t>
      </w:r>
      <w:r>
        <w:rPr>
          <w:rStyle w:val="VerbatimChar"/>
        </w:rPr>
        <w:t xml:space="preserve">ivil society anti-corruption projects (Di Puppo, 2010). Georgia also reduced\r\nregulatory complexity so as to reduce the availability of rents to corrupt elites (Mungiu-Pippidi, 2016). It\r\nalso worked to digitize government service provision, developed </w:t>
      </w:r>
      <w:r>
        <w:rPr>
          <w:rStyle w:val="VerbatimChar"/>
        </w:rPr>
        <w:t xml:space="preserve">human and institutional capacity, and\r\nUSAID.GOV                                                       GOVERNANCE IN ARMENIA: AN EVIDENCE REVIEW   | 6\r\n"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[10] "strengthened strategic planning within target national governance institutions (Schalwayk, 2009; Devlin,\r\n2010; Bennet, 2011).\r\nUkraine. In 2004–2005, Ukraine also experienced its own political transition, which began with a series</w:t>
      </w:r>
      <w:r>
        <w:rPr>
          <w:rStyle w:val="VerbatimChar"/>
        </w:rPr>
        <w:t xml:space="preserve"> of\r\nmissteps and scandals surrounding former President Kuchma. By 2004, he did not seek reelection,\r\ncreating a particularly heated competition for the presidency. Kuchma’s chosen successor, Yanukovych,\r\nnarrowly won in a contested, multi-round elec</w:t>
      </w:r>
      <w:r>
        <w:rPr>
          <w:rStyle w:val="VerbatimChar"/>
        </w:rPr>
        <w:t>tion, but popular discontent during the electoral process\r\nplaced huge pressure on the national government. During the same period, the Ukrainian Supreme\r\nCourt declared the runoff invalid due to corruption. In a second-round runoff, the results and Ya</w:t>
      </w:r>
      <w:r>
        <w:rPr>
          <w:rStyle w:val="VerbatimChar"/>
        </w:rPr>
        <w:t>nukovych\r\nlost to the leader of the opposition coalition, Yushchenko, marking the largely peaceful transfer of power.\r\nFollowing its political transition, Ukraine attempted a series of transitional reforms, both domestically and\r\nwith international e</w:t>
      </w:r>
      <w:r>
        <w:rPr>
          <w:rStyle w:val="VerbatimChar"/>
        </w:rPr>
        <w:t xml:space="preserve">ngagement, but did not enjoy significant success (Copsey, 2010).\r\nKyrgyzstan. In 2004–2005, Kyrgyzstan also experienced a political transition. As part of its political transition,\r\nthe Akayev government lost control, after holding power for 15 years. </w:t>
      </w:r>
      <w:r>
        <w:rPr>
          <w:rStyle w:val="VerbatimChar"/>
        </w:rPr>
        <w:t>The impetus was the parliamentary\r\nelections that the opposition, with broad public support, contested as corrupt. The next several years,\r\nin particular, were particularly tumultuous with several rounds of elections and tenuous coalition\r\ngovernment</w:t>
      </w:r>
      <w:r>
        <w:rPr>
          <w:rStyle w:val="VerbatimChar"/>
        </w:rPr>
        <w:t>s. Following its political transition, Kyrgyzstan attempted a number of reforms, though with\r\nlimited success (Lewis, 2010).\r\nMoldova. In 2009, Moldova also experienced a political transition (Mungiu-Pippidi and Munteanu, 2009).\r\nFollowing the announ</w:t>
      </w:r>
      <w:r>
        <w:rPr>
          <w:rStyle w:val="VerbatimChar"/>
        </w:rPr>
        <w:t>cement that the Communist Party had won a majority of seats in the parliamentary\r\nelections, demonstrations and riots ensued. At first, President Voronin tried to maintain a hard line, but\r\nultimately could not stabilize the government, leading to snap</w:t>
      </w:r>
      <w:r>
        <w:rPr>
          <w:rStyle w:val="VerbatimChar"/>
        </w:rPr>
        <w:t xml:space="preserve"> elections in which a coalition of parties\r\nformed an alliance, and the Communist Party became the opposition. However, Moldova’s political\r\ntransition was not particularly </w:t>
      </w:r>
      <w:r>
        <w:rPr>
          <w:rStyle w:val="VerbatimChar"/>
        </w:rPr>
        <w:lastRenderedPageBreak/>
        <w:t>transformative.\r\n  2.2.      CONSOLIDATION OF STATE INSTITUTIONS\r\nCONTEXT/S</w:t>
      </w:r>
      <w:r>
        <w:rPr>
          <w:rStyle w:val="VerbatimChar"/>
        </w:rPr>
        <w:t xml:space="preserve">TATUS\r\nBefore turning to specific state institutions, we first illustrate how Armenia fares along a variety of\r\ndemocracy and governance indicators according to V-Dem. Figure 2 displays the overall measure of\r\nelectoral democracy in V-Dem as well as </w:t>
      </w:r>
      <w:r>
        <w:rPr>
          <w:rStyle w:val="VerbatimChar"/>
        </w:rPr>
        <w:t xml:space="preserve">the various the sub-indices that contribute to this overall\r\nmeasure. We plot scores for 1990-2017. For all measures, higher values indicate more democratic\r\noutcomes.\r\nElectoral Democracy—also known as “polyarchy” (Dahl 1973) —intends to record the </w:t>
      </w:r>
      <w:r>
        <w:rPr>
          <w:rStyle w:val="VerbatimChar"/>
        </w:rPr>
        <w:t>responsiveness\r\nof rulers to citizens, when this is “achieved through electoral competition for the electorate’s approval\r\nunder circumstances when suffrage is extensive; political and civil society organizations can operate\r\nfreely; elections are cl</w:t>
      </w:r>
      <w:r>
        <w:rPr>
          <w:rStyle w:val="VerbatimChar"/>
        </w:rPr>
        <w:t>ean and not marred by fraud or systematic irregularities; and elections affect the\r\ncomposition of the chief executive of the country” (Coppedge et al., 2018). Overall, electoral\r\ndemocracy was high immediately following Armenia’s independence from the</w:t>
      </w:r>
      <w:r>
        <w:rPr>
          <w:rStyle w:val="VerbatimChar"/>
        </w:rPr>
        <w:t xml:space="preserve"> Soviet Union, but it fell\r\nmeaningfully by the mid-1990s. It hit new lows in the mid-2000s although rose again in recent years.\r\nTaking into account margins of error around each point estimate, the major takeaway is that Electoral\r\nDemocracy by 2017</w:t>
      </w:r>
      <w:r>
        <w:rPr>
          <w:rStyle w:val="VerbatimChar"/>
        </w:rPr>
        <w:t xml:space="preserve"> was lower than levels in the early 2000s.\r\nUSAID.GOV                                                     GOVERNANCE IN ARMENIA: AN EVIDENCE REVIEW       |  7\r\n"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[11] "In Figure 2, the sub-indices that contribute to the overall ele</w:t>
      </w:r>
      <w:r>
        <w:rPr>
          <w:rStyle w:val="VerbatimChar"/>
        </w:rPr>
        <w:t>ctoral democracy score provide further\r\ncontext on the overall trend. Taken together, these variables measure political participation, the\r\nstrength of rule of law and electoral institutions, and the threat of physical violence. First, focus on the\r\n</w:t>
      </w:r>
      <w:r>
        <w:rPr>
          <w:rStyle w:val="VerbatimChar"/>
        </w:rPr>
        <w:t xml:space="preserve">fact that this group of indicators is all around the same level on the overall scale from 0 (worse\r\noutcome) to 1 (better outcome).\r\nThis suggests that the various         Figure 2. Democracy and Governance Measures over Time for Armenia\r\naspects of </w:t>
      </w:r>
      <w:r>
        <w:rPr>
          <w:rStyle w:val="VerbatimChar"/>
        </w:rPr>
        <w:t>political and civil life    based on V-Dem\r\nrelevant to democracy in Armenia\r\nare all varying around a low\r\nbeginning baseline. There are\r\nthree notable exceptions. First,\r\nElectoral Contestation was\r\nextremely high at independence,\r\nin the m</w:t>
      </w:r>
      <w:r>
        <w:rPr>
          <w:rStyle w:val="VerbatimChar"/>
        </w:rPr>
        <w:t>idst of undeveloped\r\npolitical parties, but it dropped\r\nsignificantly by the early 2000s.\r\nSecond, Accountability followed\r\nthe same trend. Accountability\r\ncaptures “constraints on the\r\ngovernment’s use of power\r\nthrough requirements for\r\nj</w:t>
      </w:r>
      <w:r>
        <w:rPr>
          <w:rStyle w:val="VerbatimChar"/>
        </w:rPr>
        <w:t>ustification for its actions and\r\npotential sanctions” (V-Dem\r\nCodebook). This includes\r\naccountability through elections,\r\nchecks and balances between\r\ninstitutions, and oversight by civil\r\nsociety and media. Armenia’s\r\noverall decline in el</w:t>
      </w:r>
      <w:r>
        <w:rPr>
          <w:rStyle w:val="VerbatimChar"/>
        </w:rPr>
        <w:t>ectoral\r\ndemocracy from independence to\r\nthe early 2000s tracks the\r\nregime’s ability to limit these\r\nforms of accountability. The third\r\nexception is Civil Liberties, which\r\nincludes “the absence of physical violence committed by government ag</w:t>
      </w:r>
      <w:r>
        <w:rPr>
          <w:rStyle w:val="VerbatimChar"/>
        </w:rPr>
        <w:t>ents and the absence of\r\nconstraints of private liberties and political liberties by the government” (V-Dem Codebook). Since\r\nindependence, Civil Liberties have been notably higher in Armenia than the other aspects of political life\r\nconsidered here,</w:t>
      </w:r>
      <w:r>
        <w:rPr>
          <w:rStyle w:val="VerbatimChar"/>
        </w:rPr>
        <w:t xml:space="preserve"> and Civil Liberties have been generally increasing over time. This increase parallels the\r\nindicator for Less Physical Violence, which indicates a considerably lower threat of physical </w:t>
      </w:r>
      <w:r>
        <w:rPr>
          <w:rStyle w:val="VerbatimChar"/>
        </w:rPr>
        <w:lastRenderedPageBreak/>
        <w:t>violence\r\naround 2010. (For definitions of other variables, see V-</w:t>
      </w:r>
      <w:r>
        <w:rPr>
          <w:rStyle w:val="VerbatimChar"/>
        </w:rPr>
        <w:t xml:space="preserve">Dem Codebook.)\r\nUntil recently, and perhaps presently continuing in the wake of Armenia’s political transition, politics in\r\nArmenia has been plagued by pervasive and endemic corruption, clientelism, and low horizontal\r\naccountability (the inability </w:t>
      </w:r>
      <w:r>
        <w:rPr>
          <w:rStyle w:val="VerbatimChar"/>
        </w:rPr>
        <w:t>of the bureaucracy to keep checks on itself) (see Paturyan and Stefes, 2017;\r\nIskandaryan, 2012; Transparency International, 2013). Addressing these issues is critical if Armenia hopes to\r\nimprove governance and chart a course towards a more complete d</w:t>
      </w:r>
      <w:r>
        <w:rPr>
          <w:rStyle w:val="VerbatimChar"/>
        </w:rPr>
        <w:t xml:space="preserve">emocracy. In seeking to address these\r\nUSAID.GOV                                                     GOVERNANCE IN ARMENIA: AN EVIDENCE REVIEW     | 8\r\n"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[12] "challenges, the consolidation of state institutions is a critical factor. Some institutional arrangements or\r\nchanges have already been made, and</w:t>
      </w:r>
      <w:r>
        <w:rPr>
          <w:rStyle w:val="VerbatimChar"/>
        </w:rPr>
        <w:t xml:space="preserve"> we draw attention to how those may promote or hinder better\r\ngovernance. Those include a Proportional Representation (PR) electoral system and a parliamentary\r\ngovernment system. On some of these changes, we are particularly optimistic as the literatu</w:t>
      </w:r>
      <w:r>
        <w:rPr>
          <w:rStyle w:val="VerbatimChar"/>
        </w:rPr>
        <w:t>re suggests\r\nthey are among the better institutional arrangements. We also discuss other institutional factors that\r\nmay be easier to change in the short run, and that may be worth considering.\r\nFACTORS PROMOTING/HINDERING\r\nProportional Representat</w:t>
      </w:r>
      <w:r>
        <w:rPr>
          <w:rStyle w:val="VerbatimChar"/>
        </w:rPr>
        <w:t>ion Electoral system. Armenia employs a PR electoral system for\r\nparliamentary elections with a combination of open and closed list ballots. 12 Seats in parliament are allocated\r\nusing the d’Hondt method, with a threshold of 5% for parties and 7% for m</w:t>
      </w:r>
      <w:r>
        <w:rPr>
          <w:rStyle w:val="VerbatimChar"/>
        </w:rPr>
        <w:t>ulti-party alliances. The electoral\r\nsystem aims to assure that parties that surpass the threshold will be represented in roughly the same\r\nproportion as their nationwide vote totals.\r\nOne important effect of thresholds at the 5% level and above is t</w:t>
      </w:r>
      <w:r>
        <w:rPr>
          <w:rStyle w:val="VerbatimChar"/>
        </w:rPr>
        <w:t>o mitigate the possibility of an extremely\r\nfragmented party system, which observers are unanimous in decrying. Research shows that democratic\r\nbirth and sustenance relies on a stable political party system, notably including creation and buy-in from\r</w:t>
      </w:r>
      <w:r>
        <w:rPr>
          <w:rStyle w:val="VerbatimChar"/>
        </w:rPr>
        <w:t>\nconservative political parties (Ziblatt, 2017). A stable party system similarly contributes to better\r\ngovernance, notably by virtue of a stable party system’s ability to contribute to public service provision and\r\neconomic growth (Hicken, Kollman an</w:t>
      </w:r>
      <w:r>
        <w:rPr>
          <w:rStyle w:val="VerbatimChar"/>
        </w:rPr>
        <w:t>d Simmons, 2016; Bizzarro et al., 2018). There is no evidence to\r\nsuggest that civil society can replace political parties, reinforcing their importance (Diamond et al., 2014).\r\nMoreover, PR systems tend to foster strong parties, which are usually view</w:t>
      </w:r>
      <w:r>
        <w:rPr>
          <w:rStyle w:val="VerbatimChar"/>
        </w:rPr>
        <w:t xml:space="preserve">ed favorably, although some\r\nanalysts complain that party leaders are insulated from popular pressure (Samuels and Shugart, 2010).\r\nPR systems are generally governed by coalition governments, which, in turn, serve as a check on the\r\nexecutive (since </w:t>
      </w:r>
      <w:r>
        <w:rPr>
          <w:rStyle w:val="VerbatimChar"/>
        </w:rPr>
        <w:t>the support of all parties in the coalition is necessary for the coalition’s survival, and\r\nsome are likely to object if the executive oversteps his/her bounds). While this involves some sacrifice of\r\ndecisiveness relative to a Westminster (majoritaria</w:t>
      </w:r>
      <w:r>
        <w:rPr>
          <w:rStyle w:val="VerbatimChar"/>
        </w:rPr>
        <w:t>n) pattern of governance, and a small possibility of\r\ngridlock, coalition governments have many virtues. Elections are less fraught since the meaning of victory\r\nand defeat is apt to be marginal. (At most, the policies of government will shift slightly</w:t>
      </w:r>
      <w:r>
        <w:rPr>
          <w:rStyle w:val="VerbatimChar"/>
        </w:rPr>
        <w:t xml:space="preserve"> in one direction or\r\nthe other, with middle parties providing continuity of personnel and policy.) Cabinets, composed of leaders\r\nfrom all coalition parties, are more inclusive. And the result is </w:t>
      </w:r>
      <w:r>
        <w:rPr>
          <w:rStyle w:val="VerbatimChar"/>
        </w:rPr>
        <w:lastRenderedPageBreak/>
        <w:t>a political process that is probably more\r\ncapable th</w:t>
      </w:r>
      <w:r>
        <w:rPr>
          <w:rStyle w:val="VerbatimChar"/>
        </w:rPr>
        <w:t>an a Westminster system of fostering consensus on major policy initiatives. Coalition governments\r\ndo show a tendency to spend more money. However, this may be a positive characteristic if it helps to\r\nachieve greater consensus on contentious matters o</w:t>
      </w:r>
      <w:r>
        <w:rPr>
          <w:rStyle w:val="VerbatimChar"/>
        </w:rPr>
        <w:t xml:space="preserve">f policy (Gerring and Thacker, 2008).\r\nParliamentarism. Armenia’s recent constitutional reforms change it from a semi-presidential system\r\n(Markarov, 2016) to a pure parliamentary system. Research on these topics suggests that this change will\r\nhave </w:t>
      </w:r>
      <w:r>
        <w:rPr>
          <w:rStyle w:val="VerbatimChar"/>
        </w:rPr>
        <w:t>the following impacts on politics. First, political parties are likely to be strengthened, and these\r\nparties may operate in a more programmatic (and less clientelistic) fashion. 13 Second, there will be little\r\nconflict between branches of government,</w:t>
      </w:r>
      <w:r>
        <w:rPr>
          <w:rStyle w:val="VerbatimChar"/>
        </w:rPr>
        <w:t xml:space="preserve"> so the problem of gridlock and constitutional strife is much\r\nless likely to appear. Third, in between elections there will be few checks on the exercise of power except\r\n12 Closed lists tend foster programmatic, party-centered voting, whereas open li</w:t>
      </w:r>
      <w:r>
        <w:rPr>
          <w:rStyle w:val="VerbatimChar"/>
        </w:rPr>
        <w:t xml:space="preserve">sts tend favor a personal connection between\r\nthe candidate and voter. Most analysts argue that open-lists tend to foster more patronage, clientelism, and corruption (Chang\r\nand Golden, 2007; Carey and Shugart, 1995), though there is some disagreement </w:t>
      </w:r>
      <w:r>
        <w:rPr>
          <w:rStyle w:val="VerbatimChar"/>
        </w:rPr>
        <w:t xml:space="preserve">(see Gingerich, 2013).\r\n13 By “programmatic” we mean that the rules for distributive politics (i.e., who gets what and when) will be more\r\npublic and followed more often (Stokes et al., 2013).\r\nUSAID.GOV                                               </w:t>
      </w:r>
      <w:r>
        <w:rPr>
          <w:rStyle w:val="VerbatimChar"/>
        </w:rPr>
        <w:t xml:space="preserve">              GOVERNANCE IN ARMENIA: AN EVIDENCE REVIEW            |   9\r\n"                                                                                                                                                                                   </w:t>
      </w:r>
      <w:r>
        <w:rPr>
          <w:rStyle w:val="VerbatimChar"/>
        </w:rPr>
        <w:t xml:space="preserve">                                                                                                                                                                                                                                                                </w:t>
      </w:r>
      <w:r>
        <w:rPr>
          <w:rStyle w:val="VerbatimChar"/>
        </w:rPr>
        <w:t xml:space="preserve">               </w:t>
      </w:r>
      <w:r>
        <w:br/>
      </w:r>
      <w:r>
        <w:rPr>
          <w:rStyle w:val="VerbatimChar"/>
        </w:rPr>
        <w:t>## [13] "those that arise from within the ruling coalition (as noted). So long as the ruling party or coalition\r\nmaintains its majority in parliament, there is little to stand in its way until the next election. This may\r\nseem like a re</w:t>
      </w:r>
      <w:r>
        <w:rPr>
          <w:rStyle w:val="VerbatimChar"/>
        </w:rPr>
        <w:t>cipe for unaccountable government. However, experience with parliamentary systems\r\nsuggests that electoral incentives are usually sufficient to keep rulers in line with the majority opinion\r\n(Gerring and Thacker 2008; Samuels and Shugart 2010). Fourth,</w:t>
      </w:r>
      <w:r>
        <w:rPr>
          <w:rStyle w:val="VerbatimChar"/>
        </w:rPr>
        <w:t xml:space="preserve"> parliamentary systems are more supple\r\nwhen it comes to replacing leaders, as the prime minister and members of the cabinet can be replaced at\r\nany time, and in a fully constitutional fashion, without jeopardizing the ruling government and coalition (</w:t>
      </w:r>
      <w:r>
        <w:rPr>
          <w:rStyle w:val="VerbatimChar"/>
        </w:rPr>
        <w:t xml:space="preserve">so\r\nlong as a majority is maintained). For this reason, constitutional crises are much rarer in parliamentary\r\ndemocracies than in presidential democracies. Fifth, bureaucrats are more accountable to elected leaders\r\nbecause there is only one signal </w:t>
      </w:r>
      <w:r>
        <w:rPr>
          <w:rStyle w:val="VerbatimChar"/>
        </w:rPr>
        <w:t xml:space="preserve">emanating from government, rather than two, and this means that\r\nunelected officials have less leeway to set policy or to resist government initiatives. Sixth, because\r\ngovernment speaks with one voice and can keep bureaucrats accountable, there is no </w:t>
      </w:r>
      <w:r>
        <w:rPr>
          <w:rStyle w:val="VerbatimChar"/>
        </w:rPr>
        <w:t>need to saddle\r\nbureaucrats with “red tape,” constraining their room for maneuver with statutory regulations that often\r\nturn out to be rather inefficient. Finally, there is some evidence to suggest that parliamentary systems are\r\nless corrupt (Gerri</w:t>
      </w:r>
      <w:r>
        <w:rPr>
          <w:rStyle w:val="VerbatimChar"/>
        </w:rPr>
        <w:t xml:space="preserve">ng and Thacker, 2004). All in all, political scientists tend to think highly of parliamentary\r\nsystems (Fish, 2006; Gerring and Thacker, 2008; Linz, 1990; Linz and Valenzuela, 1994).\r\nDemocratic Transition. Armenia is undergoing a political transition </w:t>
      </w:r>
      <w:r>
        <w:rPr>
          <w:rStyle w:val="VerbatimChar"/>
        </w:rPr>
        <w:t>toward more democratic practices.\r\nThe long-term effects of increased electoral competition and government turnover are likely to be\r\nfavorable for reform processes. The short-term effects are harder to gauge. Many have argued that\r\ncorruption, as on</w:t>
      </w:r>
      <w:r>
        <w:rPr>
          <w:rStyle w:val="VerbatimChar"/>
        </w:rPr>
        <w:t xml:space="preserve">e example, increases in the wake of a </w:t>
      </w:r>
      <w:r>
        <w:rPr>
          <w:rStyle w:val="VerbatimChar"/>
        </w:rPr>
        <w:lastRenderedPageBreak/>
        <w:t>democratic transition and then gradually\r\ndecreases thereafter (McMann et al., 2018). However, using data from countries within the post-Soviet\r\nregion, we find that political transitions are followed by lower corr</w:t>
      </w:r>
      <w:r>
        <w:rPr>
          <w:rStyle w:val="VerbatimChar"/>
        </w:rPr>
        <w:t>uption.12 Of course, increased\r\ntransparency may make corruption more visible after a democratic opening. In any case, we emphasize that\r\neven if there is a reduction in corruption attendant upon Armenia’s political transition, we cannot expect\r\nthis</w:t>
      </w:r>
      <w:r>
        <w:rPr>
          <w:rStyle w:val="VerbatimChar"/>
        </w:rPr>
        <w:t xml:space="preserve"> to come about automatically: corruption does not improve as a mechanistic function of multi-party\r\nelections. It must be fought for.\r\nJudicial Reform. The judiciary is a critical actor in establishing rule of law, securing civil liberty, and\r\nconstr</w:t>
      </w:r>
      <w:r>
        <w:rPr>
          <w:rStyle w:val="VerbatimChar"/>
        </w:rPr>
        <w:t>aining governments to abide by the constitution (O’Donnell, 2004). To further this goal, the\r\njudiciary must have the ability to manage itself (while being subject to anti-corruption laws and potential\r\nimpeachment), including an independent budget, li</w:t>
      </w:r>
      <w:r>
        <w:rPr>
          <w:rStyle w:val="VerbatimChar"/>
        </w:rPr>
        <w:t>fe tenure for judges (in good behavior), and the ability\r\nto judge the constitutionality of laws and non-statutory executive actions. Recent accounts suggest that\r\nthe judiciary in Armenia is relatively weak (Paturyan and Stefes, 2017), and most likely</w:t>
      </w:r>
      <w:r>
        <w:rPr>
          <w:rStyle w:val="VerbatimChar"/>
        </w:rPr>
        <w:t xml:space="preserve"> the judicial system\r\nneeds significant reform. With that said, we refer readers to the Integrity Systems / Rule of Law Evidence\r\nReview conducted separately under this tasking (USAID, 2019b).\r\nSuccessful Prosecution, Regulation, and Privatization. S</w:t>
      </w:r>
      <w:r>
        <w:rPr>
          <w:rStyle w:val="VerbatimChar"/>
        </w:rPr>
        <w:t>ome analysts argue, though it is highly\r\ndisputed, that establishing the rule of law constitutes a necessary first step to promote democratic\r\nreform (O’Donnell and Schmitter, 1986; Diamond et al., 2014; Mungiu-Pippidi, 2015, 2016). Regardless of\r\nwh</w:t>
      </w:r>
      <w:r>
        <w:rPr>
          <w:rStyle w:val="VerbatimChar"/>
        </w:rPr>
        <w:t>ere analysts side on the sequencing debate, simply having numerous laws, combined with popular\r\nmobilization, is unlikely to change behavior. Instead, one critical first step toward achieving successful\r\nprosecution—reducing regulatory complexity—may b</w:t>
      </w:r>
      <w:r>
        <w:rPr>
          <w:rStyle w:val="VerbatimChar"/>
        </w:rPr>
        <w:t>e critical to success. Privatization of state-owned\r\nenterprises may play a role toward establishing successful regulation under some circumstances, but\r\nadvocating for such a strategy is unequivocally not the right course for aid agencies due to the f</w:t>
      </w:r>
      <w:r>
        <w:rPr>
          <w:rStyle w:val="VerbatimChar"/>
        </w:rPr>
        <w:t xml:space="preserve">ailure of\r\nthe Washington Consensus (Williamson, 1993, 2000; Rodrik, 2006).\r\nUSAID.GOV                                                    GOVERNANCE IN ARMENIA: AN EVIDENCE REVIEW      |  10\r\n"                                                         </w:t>
      </w:r>
      <w:r>
        <w:rPr>
          <w:rStyle w:val="VerbatimChar"/>
        </w:rPr>
        <w:t xml:space="preserve">                                                                                                                                                                                                                                                                </w:t>
      </w:r>
      <w:r>
        <w:rPr>
          <w:rStyle w:val="VerbatimChar"/>
        </w:rPr>
        <w:t xml:space="preserve">                                                                                                                                                                                           </w:t>
      </w:r>
      <w:r>
        <w:br/>
      </w:r>
      <w:r>
        <w:rPr>
          <w:rStyle w:val="VerbatimChar"/>
        </w:rPr>
        <w:t xml:space="preserve">## [14] "Natural Resources. Natural resource rents generally pose a </w:t>
      </w:r>
      <w:r>
        <w:rPr>
          <w:rStyle w:val="VerbatimChar"/>
        </w:rPr>
        <w:t>significant obstacle to the consolidation of\r\nstate institutions in less consolidated democracies (Menaldo, 2016). For example, Mexico’s state-owned\r\noil company, PEMEX, long served as a source of resources for the once dominant PRI political party to\</w:t>
      </w:r>
      <w:r>
        <w:rPr>
          <w:rStyle w:val="VerbatimChar"/>
        </w:rPr>
        <w:t>r\nfacilitate vote-buying and the exchange of patronage of jobs (Greene, 2007). Since Armenia does not\r\nhave an extensive store of valuable minerals such as oil, gas, and metals (Iskandaryan, 2012), Armenia is\r\nnot susceptible to the so-called resource</w:t>
      </w:r>
      <w:r>
        <w:rPr>
          <w:rStyle w:val="VerbatimChar"/>
        </w:rPr>
        <w:t xml:space="preserve"> curse. When countries do not have strong institutions, resource\r\nwealth can fuel authoritarianism, civil war, and exchange rate woes (Dutch Disease), thereby hindering\r\ngood governance and the development of democracy (Ross, 2015; van der Ploeg, 2011)</w:t>
      </w:r>
      <w:r>
        <w:rPr>
          <w:rStyle w:val="VerbatimChar"/>
        </w:rPr>
        <w:t>.\r\nREFORM/INTERVENTION EXAMPLES\r\nReforming Institutions. As we describe throughout this Governance Evidence Review, Armenia has an\r\noverall institutional setting that is more based on personal relations and elite-level divisions of rents 14\r\nthan t</w:t>
      </w:r>
      <w:r>
        <w:rPr>
          <w:rStyle w:val="VerbatimChar"/>
        </w:rPr>
        <w:t xml:space="preserve">he unbiased, impersonal application of the rule of law. 15 In such a setting, </w:t>
      </w:r>
      <w:r>
        <w:rPr>
          <w:rStyle w:val="VerbatimChar"/>
        </w:rPr>
        <w:lastRenderedPageBreak/>
        <w:t>mere replication of\r\nWestern institutions in a manner that is devoid of country context is unlikely to yield good outcomes\r\n(Scott, 1998; Pritchett and Woolcock, 2004; Andrew</w:t>
      </w:r>
      <w:r>
        <w:rPr>
          <w:rStyle w:val="VerbatimChar"/>
        </w:rPr>
        <w:t>s, Pritchett and Woolcock, 2017). Institutional\r\nreform is more likely to succeed in such a setting when aid agencies and policymakers identify (a) the\r\nleaders with sufficient clout who can serve as change agents (Grindle, 2012); (b) the specific inst</w:t>
      </w:r>
      <w:r>
        <w:rPr>
          <w:rStyle w:val="VerbatimChar"/>
        </w:rPr>
        <w:t>itutions\r\nthat are amenable to change; and (c) the correct time horizon or “policy window” to enact the reform\r\n(Kingdon, 1995; Levy, 2014).\r\nFor many reasons, an essential way to start any potential institutional reform is by conducting formal\r\npo</w:t>
      </w:r>
      <w:r>
        <w:rPr>
          <w:rStyle w:val="VerbatimChar"/>
        </w:rPr>
        <w:t>litical economy analysis—also known as stakeholder analysis. One reason is that, as the World Bank’s\r\nexperience with policy/structural adjustment reforms shows, success with institutional reform is mostly\r\na function of political economy consideration</w:t>
      </w:r>
      <w:r>
        <w:rPr>
          <w:rStyle w:val="VerbatimChar"/>
        </w:rPr>
        <w:t>s (Dollar and Svensson, 2000). Second, especially in weaker\r\ninstitutional settings, difficult-to-change social norms are often stronger than any imposition of a new\r\nrule, law, or monitoring program, regardless of the strength of its enforcement mecha</w:t>
      </w:r>
      <w:r>
        <w:rPr>
          <w:rStyle w:val="VerbatimChar"/>
        </w:rPr>
        <w:t>nism (Acemoglu\r\nand Jackson, 2017; World Bank, 2008; Dizon-Ross, Dupas, and Robinson, 2017; Dhaliwal and Hanna,\r\n2017). Third, actors outside the scope of the potential institution under consideration for reform, such\r\nas political parties, often der</w:t>
      </w:r>
      <w:r>
        <w:rPr>
          <w:rStyle w:val="VerbatimChar"/>
        </w:rPr>
        <w:t>ail institutional reform (Cruz and Keefer, 2015).\r\nA well-done political economy analysis delves well beyond identifying the winners, key players, and\r\ninstitutional arrangements, as well as all of their capacities to implement the reform. Other salien</w:t>
      </w:r>
      <w:r>
        <w:rPr>
          <w:rStyle w:val="VerbatimChar"/>
        </w:rPr>
        <w:t>t\r\naspects to examine notably include political parties, “interests, incentives, rents/rent distribution,\r\nhistorical legacies, prior experiences with reforms, social trends, and how all of these factors effect or\r\nimpede change” (World Bank, 2011: 1</w:t>
      </w:r>
      <w:r>
        <w:rPr>
          <w:rStyle w:val="VerbatimChar"/>
        </w:rPr>
        <w:t>; Cruz and Keefer, 2015). Perhaps most importantly, though, a\r\nwell-done political economy analysis must identify the losers from the proposed reform as well as their\r\nwillingness and ability to block it. If the winners appear weak and/or the losers ap</w:t>
      </w:r>
      <w:r>
        <w:rPr>
          <w:rStyle w:val="VerbatimChar"/>
        </w:rPr>
        <w:t>pear strong, then the\r\nreform will likely not succeed. Similarly, any institutional reform requires capable actors and a\r\n14 By “rents”, we mean “returns [or assets] that exceed the opportunity cost of resources that might otherwise be deployed in\r\na</w:t>
      </w:r>
      <w:r>
        <w:rPr>
          <w:rStyle w:val="VerbatimChar"/>
        </w:rPr>
        <w:t xml:space="preserve"> competitive market” (Levy, 2014: 22). In more competitive markets and political environments, competition fosters “creative\r\ndestruction” of monopolists’ rents (Levy, 2014: 23).\r\n15 Acemoglu and Robinson (2012) would refer to Armenia’s institutional s</w:t>
      </w:r>
      <w:r>
        <w:rPr>
          <w:rStyle w:val="VerbatimChar"/>
        </w:rPr>
        <w:t>etting as an “extractive institution.” North, Wallis,\r\nand Weingast (2009) would use the term “limited access social order.” Fukuyama (2011, 2014) would use the term\r\n“neopatrimonialist”. Although each of these frameworks are slightly different—and the</w:t>
      </w:r>
      <w:r>
        <w:rPr>
          <w:rStyle w:val="VerbatimChar"/>
        </w:rPr>
        <w:t xml:space="preserve">ir scopes eclipse that of this study—all of\r\nthe frameworks converge on the idea of a regime not having impersonal application of the rule of law, as originally conceived by\r\nMax Weber (1978).\r\nUSAID.GOV                                               </w:t>
      </w:r>
      <w:r>
        <w:rPr>
          <w:rStyle w:val="VerbatimChar"/>
        </w:rPr>
        <w:t xml:space="preserve">           GOVERNANCE IN ARMENIA: AN EVIDENCE REVIEW               |  11\r\n"                                                                                                                                                                                   </w:t>
      </w:r>
      <w:r>
        <w:rPr>
          <w:rStyle w:val="VerbatimChar"/>
        </w:rPr>
        <w:t xml:space="preserve">                                                                                                                                                                                                                                                                </w:t>
      </w:r>
      <w:r>
        <w:rPr>
          <w:rStyle w:val="VerbatimChar"/>
        </w:rPr>
        <w:t xml:space="preserve">                                                                                                       </w:t>
      </w:r>
      <w:r>
        <w:br/>
      </w:r>
      <w:r>
        <w:rPr>
          <w:rStyle w:val="VerbatimChar"/>
        </w:rPr>
        <w:t>## [15] "sustainable funding source that is not subject to elite capture. If either the latter or the former is missing\r\nor weak, it may be more advan</w:t>
      </w:r>
      <w:r>
        <w:rPr>
          <w:rStyle w:val="VerbatimChar"/>
        </w:rPr>
        <w:t xml:space="preserve">tageous to pursue another reform.\r\nIdentifying promising institutional reforms can be challenging, but there are strategies that aid agencies\r\nand policymakers can employ. One prominent strategy relies on the identification </w:t>
      </w:r>
      <w:r>
        <w:rPr>
          <w:rStyle w:val="VerbatimChar"/>
        </w:rPr>
        <w:lastRenderedPageBreak/>
        <w:t>of “weak links” or\r\n“bindi</w:t>
      </w:r>
      <w:r>
        <w:rPr>
          <w:rStyle w:val="VerbatimChar"/>
        </w:rPr>
        <w:t>ng constraints”: that is, the constraints that can unlock potential gains in many other areas (Rodrik,\r\n2007; Hausman, Rodrik, Velasco, 2008; World Bank, 2012). However, there are some notable\r\nchallenges to the binding constraint framework. First, its</w:t>
      </w:r>
      <w:r>
        <w:rPr>
          <w:rStyle w:val="VerbatimChar"/>
        </w:rPr>
        <w:t xml:space="preserve"> primary domain of application is that of\r\neconomic growth, for which it works best applies when there is a dense, overlapping network\r\ninstitutions to support it—something that may not exist in a low institutional environmental (Hidalgo,\r\nKlinger, B</w:t>
      </w:r>
      <w:r>
        <w:rPr>
          <w:rStyle w:val="VerbatimChar"/>
        </w:rPr>
        <w:t>arbasi, and Hausmann, 2007). Second, it may not be feasible to tackle the most pressing,\r\nbinding institutional constraint. Bureaucrats’ behavior or logistical challenges may be too difficult to\r\novercome, for example (World Bank, 2012). When policymak</w:t>
      </w:r>
      <w:r>
        <w:rPr>
          <w:rStyle w:val="VerbatimChar"/>
        </w:rPr>
        <w:t>ers fail to achieve reforms in areas of\r\ncrucial importance to citizens, it may also yield the side effect of increasing cynicism about the policy\r\nprocess (So et al., 2018). In turn, that cynicism can create political cleavages for populist outsiders,</w:t>
      </w:r>
      <w:r>
        <w:rPr>
          <w:rStyle w:val="VerbatimChar"/>
        </w:rPr>
        <w:t xml:space="preserve"> who\r\ntend to be more authoritarian and have less respect for democratic norms (Levitsky and Ziblatt, 2018).\r\nAnother well-known strategy of institutional reform is that of New Public Management. Its basic premise\r\nis to cut costs, deregulate, reduce</w:t>
      </w:r>
      <w:r>
        <w:rPr>
          <w:rStyle w:val="VerbatimChar"/>
        </w:rPr>
        <w:t xml:space="preserve"> inefficiencies, induce more participation from lower levels of\r\ngovernment and clients, and offer alternative service provision options (Peters, 2008). Essentially, even\r\nthough the exact definition is contested, NPM is about reducing red tape and att</w:t>
      </w:r>
      <w:r>
        <w:rPr>
          <w:rStyle w:val="VerbatimChar"/>
        </w:rPr>
        <w:t>enuating the monopoly\r\npower of government. Although NPM was very popular during the1990s and part of the 2000s, it—and\r\nthe Washington Consensus that provided a platform for it—has since fallen mostly out of favor. Beyond\r\nthe legitimacy problems th</w:t>
      </w:r>
      <w:r>
        <w:rPr>
          <w:rStyle w:val="VerbatimChar"/>
        </w:rPr>
        <w:t>at the Washington Consensus created for aid agencies (Rodrik, 2006), NPM\r\nnecessarily entails creating a principal-agent problem (Peters and Pierre 2018: 140-145). More\r\nspecifically, NPM divorces the policy decision-making process from the implementat</w:t>
      </w:r>
      <w:r>
        <w:rPr>
          <w:rStyle w:val="VerbatimChar"/>
        </w:rPr>
        <w:t>ion of programs.\r\nWhile that may produce good results in some contexts, it makes discerning who is responsible when\r\nthings go wrong more difficult. Most pertinently for this Governance Evidence Review, an edited volume\r\nfrom the eminent public admin</w:t>
      </w:r>
      <w:r>
        <w:rPr>
          <w:rStyle w:val="VerbatimChar"/>
        </w:rPr>
        <w:t>istration scholar Peters (2008) suggests that NPM was less successful in\r\nRussia and the former Soviet Republics, including Armenia.\r\nNowadays, the two most useful frameworks to guide institutional reforms are the Problem-Driven\r\nIterative Adaptation</w:t>
      </w:r>
      <w:r>
        <w:rPr>
          <w:rStyle w:val="VerbatimChar"/>
        </w:rPr>
        <w:t xml:space="preserve"> (PDIA) approach of Andrews, Pritchett, and Woolcock (2013) and the political\r\nsettlements framework of Khan (2017). The latter is especially useful for institutional reform feasibility\r\nanalysis because, unlike New Institutional Economics, 16 the poli</w:t>
      </w:r>
      <w:r>
        <w:rPr>
          <w:rStyle w:val="VerbatimChar"/>
        </w:rPr>
        <w:t xml:space="preserve">tical settlements frameworks treats\r\npower and institutions separately (Behuria, Buur, and Gray, 2017). The political settlements framework\r\nthus allows for dynamic investigation of how power shapes institutional configurations over time as well\r\nas </w:t>
      </w:r>
      <w:r>
        <w:rPr>
          <w:rStyle w:val="VerbatimChar"/>
        </w:rPr>
        <w:t>during critical junctures (see Capoccia and Kelemen, 2007; Capoccia, 2016).17 The three dimensions\r\nof political settlements also lend quite smoothly to the analysis of institutional reform: horizontal power\r\n(power of excluded groups relative to domin</w:t>
      </w:r>
      <w:r>
        <w:rPr>
          <w:rStyle w:val="VerbatimChar"/>
        </w:rPr>
        <w:t>ant ones); vertical power (power of dominant factions in\r\n16 New Institutional Economics (NIE) essentially stresses how political and economic institutions shape economic and political\r\nbehavior and outcomes (e.g., Acemoglu, Johnson, and Robinson, 2005</w:t>
      </w:r>
      <w:r>
        <w:rPr>
          <w:rStyle w:val="VerbatimChar"/>
        </w:rPr>
        <w:t xml:space="preserve">). NIE thought has produced some of the most famous\r\nwork in the whole discipline of </w:t>
      </w:r>
      <w:r>
        <w:rPr>
          <w:rStyle w:val="VerbatimChar"/>
        </w:rPr>
        <w:lastRenderedPageBreak/>
        <w:t>economics, including from Nobel Laureates such as Elinor Ostrom, Oliver Williamson, Ronald\r\nCoase, and Douglas North. For representative works, see Ostrom (1990), Will</w:t>
      </w:r>
      <w:r>
        <w:rPr>
          <w:rStyle w:val="VerbatimChar"/>
        </w:rPr>
        <w:t>iamson (1985), Coase (1960), and North (1981).\r\n17 Within the historical institutionalist tradition, critical junctures refer to periods of very rapid change that later creates sticky,\r\nhard-to-break path dependence. There is no specific minimum or max</w:t>
      </w:r>
      <w:r>
        <w:rPr>
          <w:rStyle w:val="VerbatimChar"/>
        </w:rPr>
        <w:t xml:space="preserve">imum length to these critical junctures; they can last for\r\nmany years or a very short amount of time. For more on historical institutionalism, see, for example, Capoccia and Kelemen\r\n(2007).\r\nUSAID.GOV                                                </w:t>
      </w:r>
      <w:r>
        <w:rPr>
          <w:rStyle w:val="VerbatimChar"/>
        </w:rPr>
        <w:t xml:space="preserve">                 GOVERNANCE IN ARMENIA: AN EVIDENCE REVIEW                |  12\r\n"                                                                                                                                                                            </w:t>
      </w:r>
      <w:r>
        <w:rPr>
          <w:rStyle w:val="VerbatimChar"/>
        </w:rPr>
        <w:t xml:space="preserve">                   </w:t>
      </w:r>
      <w:r>
        <w:br/>
      </w:r>
      <w:r>
        <w:rPr>
          <w:rStyle w:val="VerbatimChar"/>
        </w:rPr>
        <w:t>## [16] "the ruling coalition relative to other less powerful ones also in the ruling coalition); and political\r\nsettlement financing (i.e., notably, between elites inside and outside the ruling coalition) (Behuria, Buur,\r\nand Gray,</w:t>
      </w:r>
      <w:r>
        <w:rPr>
          <w:rStyle w:val="VerbatimChar"/>
        </w:rPr>
        <w:t xml:space="preserve"> 2017). Each of these dimensions gets at the heart of Armenia’s challenges with its captured\r\nbureaucracy (Paturyan and Steffes, 2017).\r\nThe Problem-Driven Iterative Adaptation (PDIA) approach of Andrews, Pritchett, and Woolcock (2013)\r\nis a very str</w:t>
      </w:r>
      <w:r>
        <w:rPr>
          <w:rStyle w:val="VerbatimChar"/>
        </w:rPr>
        <w:t>ong response to what Andrews (2015) calls Solution- and Leader-Driven Change (SLDC).\r\nWhereas SLDC is about identifying solutions to institutional reform up and having the solutions guide\r\ninterventions, PDIA is about focusing on the problems and “mudd</w:t>
      </w:r>
      <w:r>
        <w:rPr>
          <w:rStyle w:val="VerbatimChar"/>
        </w:rPr>
        <w:t>ling through…with experimentation\r\nand trial and error” (Andrews, 2015: 197).18 The rationale for the change of focus, according to\r\nAndrews, Pritchett, and Woolcock (2017), is that states have very different capacities to implement\r\ninstitutional re</w:t>
      </w:r>
      <w:r>
        <w:rPr>
          <w:rStyle w:val="VerbatimChar"/>
        </w:rPr>
        <w:t>forms. Those capacities tend to be very context- and sector-specific, too.\r\nIn summary, institutional reform is not about identifying a solution ahead of time, such as streamlining to\r\navoid duplication or revising mandates. Before proceeding with inst</w:t>
      </w:r>
      <w:r>
        <w:rPr>
          <w:rStyle w:val="VerbatimChar"/>
        </w:rPr>
        <w:t>itutional reform, aid agencies and\r\npolicymakers need to undertake political economy analysis. When doing so, they should not only\r\nexamine the traditional tenets of political economy analysis but the three dimensions of the political\r\nsettlements fr</w:t>
      </w:r>
      <w:r>
        <w:rPr>
          <w:rStyle w:val="VerbatimChar"/>
        </w:rPr>
        <w:t>amework, paying particular attention to implementation capacity constraints. The actual\r\nimplementation of reforms should be gradual and involve the engagement of all relevant actors, too.\r\nQuick, rapid, and drastic institutional reforms have a tendenc</w:t>
      </w:r>
      <w:r>
        <w:rPr>
          <w:rStyle w:val="VerbatimChar"/>
        </w:rPr>
        <w:t>y to cause chaos and backfire, particularly\r\nin weaker institutional environments such as Armenia (Bersch. 2016, 2019; Acemoglu and Jackson,\r\n2017).\r\nAnti-Corruption Agencies. Anti-corruption agencies often play a key role in governance reform\r\n(Re</w:t>
      </w:r>
      <w:r>
        <w:rPr>
          <w:rStyle w:val="VerbatimChar"/>
        </w:rPr>
        <w:t>canatini, 2011; Søreide, 2014). However, we caution that their impact is contingent upon several\r\nconditions that are difficult to achieve: political independence, adequate funding and staffing, investigatory\r\npower, hotlines allowing for anonymous rep</w:t>
      </w:r>
      <w:r>
        <w:rPr>
          <w:rStyle w:val="VerbatimChar"/>
        </w:rPr>
        <w:t>orting of corrupt activities, and an amnesty for whistle-blowers.\r\nCountry-level experiences are generally mixed, with some standout success cases (Hong Kong, Singapore),\r\nand lots of cases that are hard to classify (Dixit, 2018). For more on anti-corr</w:t>
      </w:r>
      <w:r>
        <w:rPr>
          <w:rStyle w:val="VerbatimChar"/>
        </w:rPr>
        <w:t>uption agencies, we refer\r\nreaders to the Integrity Systems and Rule of Law Evidence Review also under this tasking (USAID,\r\n2019b).\r\nDecentralization. While we expect that addressing low-level petty corruption and e-governance are\r\nimportant oppor</w:t>
      </w:r>
      <w:r>
        <w:rPr>
          <w:rStyle w:val="VerbatimChar"/>
        </w:rPr>
        <w:t xml:space="preserve">tunities for Armenia to pursue, there are risks in how Armenia proceeds. We offer the\r\nfollowing with respect to </w:t>
      </w:r>
      <w:r>
        <w:rPr>
          <w:rStyle w:val="VerbatimChar"/>
        </w:rPr>
        <w:lastRenderedPageBreak/>
        <w:t>decentralization.\r\nIn theory, decentralization offers the promise of bringing government closer to citizens. In particular, it\r\nallows ci</w:t>
      </w:r>
      <w:r>
        <w:rPr>
          <w:rStyle w:val="VerbatimChar"/>
        </w:rPr>
        <w:t>tizens more potential to request their leaders for the specific mix of public goods/services that\r\nthey need at the local level. By the same token, the second- generation of fiscal federalism/decentralization\r\nliterature stresses the difficulty of achi</w:t>
      </w:r>
      <w:r>
        <w:rPr>
          <w:rStyle w:val="VerbatimChar"/>
        </w:rPr>
        <w:t>eving the promise of decentralization (Oates, 2005). Political economy\r\n(incentives) and corruption challenges are difficult to overcome, and the proper design of decentralization\r\nrequires many overlapping government features and structures to work se</w:t>
      </w:r>
      <w:r>
        <w:rPr>
          <w:rStyle w:val="VerbatimChar"/>
        </w:rPr>
        <w:t>amlessly in tandem (Weingast,\r\n2014; Mookherjee, 2015; Rodden, 2004).\r\n18 Although Andrews, Pritchett, and Woolcock (2013, 2017) do not reference Easterly (2006) directly, the contrast between\r\nPDIA and SLDC seems to mirror’s Easterly’s (2006) call f</w:t>
      </w:r>
      <w:r>
        <w:rPr>
          <w:rStyle w:val="VerbatimChar"/>
        </w:rPr>
        <w:t xml:space="preserve">or “searching” for solutions at a small-scale, as opposed to the\r\napproach of Sachs (2005) and the Millennium Development Goals (MDGs), which involve large-scale “planning”.\r\nUSAID.GOV                                                         GOVERNANCE </w:t>
      </w:r>
      <w:r>
        <w:rPr>
          <w:rStyle w:val="VerbatimChar"/>
        </w:rPr>
        <w:t xml:space="preserve">IN ARMENIA: AN EVIDENCE REVIEW              | 13\r\n"                                                                                                                                                                                                           </w:t>
      </w:r>
      <w:r>
        <w:rPr>
          <w:rStyle w:val="VerbatimChar"/>
        </w:rPr>
        <w:t xml:space="preserve">                                                                                                                                                                                                                                                                </w:t>
      </w:r>
      <w:r>
        <w:rPr>
          <w:rStyle w:val="VerbatimChar"/>
        </w:rPr>
        <w:t xml:space="preserve">                                                                                                                                                                                                                                                                </w:t>
      </w:r>
      <w:r>
        <w:rPr>
          <w:rStyle w:val="VerbatimChar"/>
        </w:rPr>
        <w:t xml:space="preserve">                                                                                                                                                                                               </w:t>
      </w:r>
      <w:r>
        <w:br/>
      </w:r>
      <w:r>
        <w:rPr>
          <w:rStyle w:val="VerbatimChar"/>
        </w:rPr>
        <w:t xml:space="preserve">## [17] "There is no one-size-fits-all form of decentralization </w:t>
      </w:r>
      <w:r>
        <w:rPr>
          <w:rStyle w:val="VerbatimChar"/>
        </w:rPr>
        <w:t>that suits all countries. For decentralization to be\r\nsuccessful, though, there must be a credible commitment from the national government entailing: (i)\r\nsufficient resources to assist with the processes, hire new people, and create new facilitating\r</w:t>
      </w:r>
      <w:r>
        <w:rPr>
          <w:rStyle w:val="VerbatimChar"/>
        </w:rPr>
        <w:t xml:space="preserve">\nstructures/institutions, not mere devolution of responsibility to the subnational level; (ii) clear procedures\r\nand legislation, especially concerning taxes; (iii) a fair intergovernmental transfer system, based on clear\r\ncriteria such as population </w:t>
      </w:r>
      <w:r>
        <w:rPr>
          <w:rStyle w:val="VerbatimChar"/>
        </w:rPr>
        <w:t>thresholds and poverty or other needs-based measures; and (iv) audits, a free\r\npress, access to information, and informed voters to hold politicians and the bureaucracy accountable (Díaz-\r\nCayeros, 2006; Bird and Smart, 2002; Lessmann and Markwardt, 20</w:t>
      </w:r>
      <w:r>
        <w:rPr>
          <w:rStyle w:val="VerbatimChar"/>
        </w:rPr>
        <w:t>10; Boffa, Piolatto and Ponzetto, 2016;\r\nFerraz and Finan, 2008).\r\nEvidence from young democracies similar to Armenia suggests that sufficient implementation on all of the\r\nabove criteria is very challenging. With respect to resources, fiscal imbalan</w:t>
      </w:r>
      <w:r>
        <w:rPr>
          <w:rStyle w:val="VerbatimChar"/>
        </w:rPr>
        <w:t xml:space="preserve">ces often imperil the\r\nimplementation of decentralization programs. Since decentralization funding decisions are largely made at the\r\nnational level, decentralized decision-makers largely have no recourse when national-level politicians do not\r\nfund </w:t>
      </w:r>
      <w:r>
        <w:rPr>
          <w:rStyle w:val="VerbatimChar"/>
        </w:rPr>
        <w:t>the programs (Bird and Smart, 2002; Díaz-Cayeros, 2006). For example, the Honduran Law of\r\nMunicipalities states that the national government is to transfer 11% of national revenue to municipalities.\r\nHowever, the national government frequently only tr</w:t>
      </w:r>
      <w:r>
        <w:rPr>
          <w:rStyle w:val="VerbatimChar"/>
        </w:rPr>
        <w:t xml:space="preserve">ansfers 8% of revenue due to fiscal imbalances, and\r\nthe decentralized decision-makers are powerless to change the situation.\r\nAs decentralization brings more resources to subnational governments, it yields a question concerning\r\nhow they will spend </w:t>
      </w:r>
      <w:r>
        <w:rPr>
          <w:rStyle w:val="VerbatimChar"/>
        </w:rPr>
        <w:t xml:space="preserve">the resources. On this score, the global literature highlights the effect of political\r\nbudget cycles, detailing precisely how politicians manipulate intergovernmental transfers and other\r\nresources from the central government to alter the outcomes of </w:t>
      </w:r>
      <w:r>
        <w:rPr>
          <w:rStyle w:val="VerbatimChar"/>
        </w:rPr>
        <w:t>subnational elections (Klomp and de\r\nHaan, 2013). 19 Notably, discretionary expenses on employment, grant programs (e.g., conditional cash\r\ntransfers), and infrastructure tend to increase during electoral cycles (Remmer, 2007; Keefer and Khemani,\r\n20</w:t>
      </w:r>
      <w:r>
        <w:rPr>
          <w:rStyle w:val="VerbatimChar"/>
        </w:rPr>
        <w:t xml:space="preserve">05).\r\nBeyond elections, building state capacity to monitor all of the additional government functions that\r\ndecentralization </w:t>
      </w:r>
      <w:r>
        <w:rPr>
          <w:rStyle w:val="VerbatimChar"/>
        </w:rPr>
        <w:lastRenderedPageBreak/>
        <w:t>creates is difficult, particularly with respect to taxation. Capacity to tax is generally very\r\nuneven across most states’ te</w:t>
      </w:r>
      <w:r>
        <w:rPr>
          <w:rStyle w:val="VerbatimChar"/>
        </w:rPr>
        <w:t xml:space="preserve">rritories (Besley and Persson, 2013; Kiser and Karceski, 2017). Performance\r\npay for tax collectors, even if effective from a tax revenue perspective, also might bring about costs such\r\nas increased bribery (Khan, Khwaja and Olken, 2016).\r\nThere are </w:t>
      </w:r>
      <w:r>
        <w:rPr>
          <w:rStyle w:val="VerbatimChar"/>
        </w:rPr>
        <w:t>several reasons to be skeptical of the potential benefits of decentralization in Armenia. First,\r\nArmenia is a very small country, both demographically and geographically, making the government already\r\nclose and presumably accessible to the people. Se</w:t>
      </w:r>
      <w:r>
        <w:rPr>
          <w:rStyle w:val="VerbatimChar"/>
        </w:rPr>
        <w:t>cond, Armenia is a highly homogeneous country, so\r\ncitizens living in different regions do not experience linguistic or cultural barriers and probably do have\r\nradically divergent policy preferences (e.g., for taxes and spending). As such, little impro</w:t>
      </w:r>
      <w:r>
        <w:rPr>
          <w:rStyle w:val="VerbatimChar"/>
        </w:rPr>
        <w:t xml:space="preserve">vement in the\r\nmatch of preferences to policy can be expected from decentralization (Rodden, 2004). Third,\r\ndecentralization in a small country means that regional and/or local governments that gain power will have a\r\nvery narrow tax base, making it </w:t>
      </w:r>
      <w:r>
        <w:rPr>
          <w:rStyle w:val="VerbatimChar"/>
        </w:rPr>
        <w:t>difficult to raise revenue and increasing the likelihood of capital flight (Cai\r\nand Treisman, 2004). Fourth, very small units will lose economies of scale, meaning that some government\r\nservices may be more expensive, or may be under-provided (Treisma</w:t>
      </w:r>
      <w:r>
        <w:rPr>
          <w:rStyle w:val="VerbatimChar"/>
        </w:rPr>
        <w:t>n, 2007; Blom-Hansen et al, 2016).\r\nFifth, insofar as regulatory authority is devolved to local or regional authorities it may create a confusing\r\n19 See evidence from, for example, Brazil (Brollo et al., 2013), Mexico (Timmons and Garfias, 2015), Port</w:t>
      </w:r>
      <w:r>
        <w:rPr>
          <w:rStyle w:val="VerbatimChar"/>
        </w:rPr>
        <w:t xml:space="preserve">ugal (Veiga and\r\nVeiga, 2013), Spain (Sole´-Olle´ and Sorribas-Navarro, 2008), and Ghana (Banful, 2011).\r\nUSAID.GOV                                                          GOVERNANCE IN ARMENIA: AN EVIDENCE REVIEW          |  14\r\n"                  </w:t>
      </w:r>
      <w:r>
        <w:rPr>
          <w:rStyle w:val="VerbatimChar"/>
        </w:rPr>
        <w:t xml:space="preserve">                                                                                                                                                                                                                                                                </w:t>
      </w:r>
      <w:r>
        <w:rPr>
          <w:rStyle w:val="VerbatimChar"/>
        </w:rPr>
        <w:t xml:space="preserve">                                                                                                                                                                                                                                                                </w:t>
      </w:r>
      <w:r>
        <w:rPr>
          <w:rStyle w:val="VerbatimChar"/>
        </w:rPr>
        <w:t xml:space="preserve">                                                                                                           </w:t>
      </w:r>
      <w:r>
        <w:br/>
      </w:r>
      <w:r>
        <w:rPr>
          <w:rStyle w:val="VerbatimChar"/>
        </w:rPr>
        <w:t>## [18] "patchwork of laws—discouraging investment, erecting a barrier to the free movement of goods and\r\nservices, and ultimately raising prices.</w:t>
      </w:r>
      <w:r>
        <w:rPr>
          <w:rStyle w:val="VerbatimChar"/>
        </w:rPr>
        <w:t xml:space="preserve"> Sixth, small and weak local governments are more susceptible to\r\n“capture” by powerful oligarchs or businesses, who exercise power in a region (Bardhan and Mookherjee,\r\n2000; Bardhan, 2002). Seventh, decentralization is likely to increase regional ine</w:t>
      </w:r>
      <w:r>
        <w:rPr>
          <w:rStyle w:val="VerbatimChar"/>
        </w:rPr>
        <w:t>qualities across the country\r\n(Bardhan and Mookherjee, 2006). Eighth, the search for competent elected leaders, bureaucrats, judges,\r\nNGO staff, and all the people required to make a government work well is more difficult at local and regional\r\nlevel</w:t>
      </w:r>
      <w:r>
        <w:rPr>
          <w:rStyle w:val="VerbatimChar"/>
        </w:rPr>
        <w:t>s: human capital tends to be scarcer on the periphery, and local/regional wages are generally not as\r\nattractive as those in the capital (where the central government is headquartered). So, decentralization\r\ngenerally means that the quality of governme</w:t>
      </w:r>
      <w:r>
        <w:rPr>
          <w:rStyle w:val="VerbatimChar"/>
        </w:rPr>
        <w:t>nt personnel declines. Ninth, decentralization makes\r\ngovernment more fragmented and thus more complicated to operate and to monitor, weakening\r\naccountability mechanisms between leaders and electors (Boffa, Piolata, and Ponzetto, 2016).\r\nWhile the l</w:t>
      </w:r>
      <w:r>
        <w:rPr>
          <w:rStyle w:val="VerbatimChar"/>
        </w:rPr>
        <w:t>iterature suggests pessimism about decentralization, there are some arguments suggesting\r\nthat decentralization may not be so problematic, though only under certain conditions. First, the policy\r\nto be decentralized should be clearly delineated, avoidi</w:t>
      </w:r>
      <w:r>
        <w:rPr>
          <w:rStyle w:val="VerbatimChar"/>
        </w:rPr>
        <w:t>ng confusion and potential conflicts between the\r\nnational government and local governments over who is responsible for the policy, and allowing citizens\r\nto clearly assign blame if the policy is not successfully implemented.\r\nSecond, the policy shou</w:t>
      </w:r>
      <w:r>
        <w:rPr>
          <w:rStyle w:val="VerbatimChar"/>
        </w:rPr>
        <w:t xml:space="preserve">ld be funded by revenue that is raised locally. In this fashion, the locality is </w:t>
      </w:r>
      <w:r>
        <w:rPr>
          <w:rStyle w:val="VerbatimChar"/>
        </w:rPr>
        <w:lastRenderedPageBreak/>
        <w:t>not\r\ndependent upon the vicissitudes of the national budget and of national politics. Too often, funding for\r\nlocal programs is cut by national governments eager (or compe</w:t>
      </w:r>
      <w:r>
        <w:rPr>
          <w:rStyle w:val="VerbatimChar"/>
        </w:rPr>
        <w:t xml:space="preserve">lled) to balance their budgets. Or, it is\r\nallocated in a partisan manner in order to pay off clients of the ruling party. Note, however, that raising\r\nrevenue at local levels is difficult as capital is mobile. A subnational government that raises the </w:t>
      </w:r>
      <w:r>
        <w:rPr>
          <w:rStyle w:val="VerbatimChar"/>
        </w:rPr>
        <w:t>tax rate\r\non citizens or businesses is liable to instigate capital flight, with the result that it will raise less revenue\r\nthan intended and may damage its economy and its tax base.\r\nThird, subnational governments must have the revenue and administr</w:t>
      </w:r>
      <w:r>
        <w:rPr>
          <w:rStyle w:val="VerbatimChar"/>
        </w:rPr>
        <w:t>ative capacity to implement the\r\npolicy. Note that subnational governments are generally less attractive to well-trained bureaucrats and\r\nspecialists, who prefer higher-paying jobs located in the capital. Some subnational governments are apt\r\nto be c</w:t>
      </w:r>
      <w:r>
        <w:rPr>
          <w:rStyle w:val="VerbatimChar"/>
        </w:rPr>
        <w:t>ash-strapped, probably because they are situated in a poor region and thus have a weak tax base.\r\nThey may struggle to raise the necessary funds to implement the policy, and even if they have the\r\nfunding they may not have a sufficiently large and well</w:t>
      </w:r>
      <w:r>
        <w:rPr>
          <w:rStyle w:val="VerbatimChar"/>
        </w:rPr>
        <w:t>-trained staff to implement that policy.\r\nFourth, subnational governments must be subject to hard-budget constraints, enshrined in statutory or\r\nconstitutional law. Absent this constraint, subnational governments will be free to engage in deficit-\r\ns</w:t>
      </w:r>
      <w:r>
        <w:rPr>
          <w:rStyle w:val="VerbatimChar"/>
        </w:rPr>
        <w:t>pending, with the knowledge that the national government will bail them out at a later date. Over time,\r\ndeficits will take a serious toll on the national economy and the national budget (Rodden, 2002).\r\nIf these four conditions are in place, we may ex</w:t>
      </w:r>
      <w:r>
        <w:rPr>
          <w:rStyle w:val="VerbatimChar"/>
        </w:rPr>
        <w:t>pect that a decentralized policy will be successful. That\r\nsuccess will be augmented if, in addition, preferences vary on that policy and these policy preferences\r\nare regionally specific. That is, those who prefer Policy A live together in Region A, w</w:t>
      </w:r>
      <w:r>
        <w:rPr>
          <w:rStyle w:val="VerbatimChar"/>
        </w:rPr>
        <w:t xml:space="preserve">hile those who\r\nprefer Policy B live together in Region B. This way, everyone’s preferences are maximized and they do\r\nnot have to suffer under a uniform policy imposed by the national government.\r\nWhile decentralization is a common and increasingly </w:t>
      </w:r>
      <w:r>
        <w:rPr>
          <w:rStyle w:val="VerbatimChar"/>
        </w:rPr>
        <w:t>attractive policy in many countries, the scholarship\r\noffers mixed expectations with the preponderance of the evidence suggesting pessimism about the\r\nbenefits of decentralization. In a geographically and politically concentrated country such as Armeni</w:t>
      </w:r>
      <w:r>
        <w:rPr>
          <w:rStyle w:val="VerbatimChar"/>
        </w:rPr>
        <w:t xml:space="preserve">a, for\r\nUSAID.GOV                                                     GOVERNANCE IN ARMENIA: AN EVIDENCE REVIEW       |  15\r\n"                                                                                                                              </w:t>
      </w:r>
      <w:r>
        <w:rPr>
          <w:rStyle w:val="VerbatimChar"/>
        </w:rPr>
        <w:t xml:space="preserve">                                                                                                                                                                                                                                                                </w:t>
      </w:r>
      <w:r>
        <w:rPr>
          <w:rStyle w:val="VerbatimChar"/>
        </w:rPr>
        <w:t xml:space="preserve">                                                                                                                                                                                                                                                                </w:t>
      </w:r>
      <w:r>
        <w:rPr>
          <w:rStyle w:val="VerbatimChar"/>
        </w:rPr>
        <w:t xml:space="preserve">                       </w:t>
      </w:r>
      <w:r>
        <w:br/>
      </w:r>
      <w:r>
        <w:rPr>
          <w:rStyle w:val="VerbatimChar"/>
        </w:rPr>
        <w:t>## [19] "example, it is somewhat unclear what the benefits of decentralization would be. With that said, under\r\ncertain conditions decentralization could be useful, and we urge taking seriously these conditions.\r\nAmnesty and Tra</w:t>
      </w:r>
      <w:r>
        <w:rPr>
          <w:rStyle w:val="VerbatimChar"/>
        </w:rPr>
        <w:t>nsitional Justice. Even though the causal evidence regarding the effectiveness of\r\ntransitional justice programs is not conclusive (McCargo, 2015), granting amnesty in exchange for the\r\nconfession of minor crimes (e.g., petty corruption) committed unde</w:t>
      </w:r>
      <w:r>
        <w:rPr>
          <w:rStyle w:val="VerbatimChar"/>
        </w:rPr>
        <w:t>r the old regime might serve as a\r\nway to coopt opposition and to move forward without wholesale lustration (O’Donnell and Schmitter,\r\n1986). After implementing the program, Armenia could then introduce set an example by placing some in\r\njail, levyin</w:t>
      </w:r>
      <w:r>
        <w:rPr>
          <w:rStyle w:val="VerbatimChar"/>
        </w:rPr>
        <w:t>g large fines on others, etc. By the same token, threats of prosecution should not become a\r\ntactic for blackmailing the opposition or putting opponents in jail.\r\nCampaign Finance. Most countries regulate political finance and many offer public subsidi</w:t>
      </w:r>
      <w:r>
        <w:rPr>
          <w:rStyle w:val="VerbatimChar"/>
        </w:rPr>
        <w:t xml:space="preserve">es to political\r\nparties or candidates. Proponents of political finance </w:t>
      </w:r>
      <w:r>
        <w:rPr>
          <w:rStyle w:val="VerbatimChar"/>
        </w:rPr>
        <w:lastRenderedPageBreak/>
        <w:t>regulations claim that public money reduces\r\ncorruption in politics, and some evidence seems to support this thesis. Political finance subsidies and\r\naccompanying regulations may</w:t>
      </w:r>
      <w:r>
        <w:rPr>
          <w:rStyle w:val="VerbatimChar"/>
        </w:rPr>
        <w:t xml:space="preserve"> reduce the influence of private money in politics and increase legal and media\r\nsanctions for corrupt behavior (Hummel, Gerring and Burt, 2018).\r\nLEARNING FROM REGIONAL/SIMILAR COUNTRY EXPERIENCE\r\nGeorgia and Estonia achieved some governance improve</w:t>
      </w:r>
      <w:r>
        <w:rPr>
          <w:rStyle w:val="VerbatimChar"/>
        </w:rPr>
        <w:t>ments in part by reducing regulatory complexity. In\r\nthe process, elites lost access to public sector revenue streams that they were capturing for their own\r\npersonal gain, which hurt the integrity of the public sector. Part of the reason for the gover</w:t>
      </w:r>
      <w:r>
        <w:rPr>
          <w:rStyle w:val="VerbatimChar"/>
        </w:rPr>
        <w:t>nance\r\nsuccesses of these regimes included their “big-bang” approach: that is, to undertake the reforms rather\r\nquickly (Mungiu-Pippidi, 2016; Rothstein, 2011). Powering through a big-bang approach, however, yields\r\nrisks for political stability in w</w:t>
      </w:r>
      <w:r>
        <w:rPr>
          <w:rStyle w:val="VerbatimChar"/>
        </w:rPr>
        <w:t>eak institutional environments (Bersch 2016, 2019). Therefore, it is\r\ndifficult to know whether a “big- bang” approach toward reducing regulatory complexity could yield\r\nfruitful results for Armenia.\r\nUkraine’s 2004-2005 political transition, Kyrgyzs</w:t>
      </w:r>
      <w:r>
        <w:rPr>
          <w:rStyle w:val="VerbatimChar"/>
        </w:rPr>
        <w:t>tan’s 2005 transition, and Moldova’s transition of 2009\r\ngenerated lots of protest and subsequent hope from citizens about potential institutional change (Ó\r\nBeacháin and Polese, 2010). Although Ukraine succeeded at creating an opposition, its politica</w:t>
      </w:r>
      <w:r>
        <w:rPr>
          <w:rStyle w:val="VerbatimChar"/>
        </w:rPr>
        <w:t>l transition\r\nmostly replaced one elite with another, which did not promote many institutional reforms (Copsey,\r\n2010). Similarly, Kyrgyzstan’s political transition neither rid the country of its elite, nor did it not\r\npromote fundamental change (Lew</w:t>
      </w:r>
      <w:r>
        <w:rPr>
          <w:rStyle w:val="VerbatimChar"/>
        </w:rPr>
        <w:t>is, 2010). For its part, Moldova has not diminished the influence of its\r\noligarchs/“mafia”, has not fulfilled citizen requests for a fairer electoral system, and still does not have a\r\nfunctioning opposition party (Nemtsova, 2016; Munteanu, 2018). Ove</w:t>
      </w:r>
      <w:r>
        <w:rPr>
          <w:rStyle w:val="VerbatimChar"/>
        </w:rPr>
        <w:t>rall, the Ukrainian, Kyrgyz, and\r\nMoldovan experiences suggest that Armenia needs to be careful to properly manage expectations from\r\nits political transition; otherwise, disappointment could lead to institutional retrogression or decay.\r\nTAKEAWAYS\r</w:t>
      </w:r>
      <w:r>
        <w:rPr>
          <w:rStyle w:val="VerbatimChar"/>
        </w:rPr>
        <w:t>\nIt is our belief that Armenia is in a relatively good position institutionally, and there is cause for optimism.\r\nMuch research suggests that parliamentary governments with proportional representation electoral systems\r\n— and further with the 5% thre</w:t>
      </w:r>
      <w:r>
        <w:rPr>
          <w:rStyle w:val="VerbatimChar"/>
        </w:rPr>
        <w:t>sholds to prevent party fragmentation — are the most prone to healthy\r\ngovernance and democratic development. Moreover, Armenia’s population, especially the youth, are heavily\r\ninvolved and eager to have better governance.\r\nGiven these positive insti</w:t>
      </w:r>
      <w:r>
        <w:rPr>
          <w:rStyle w:val="VerbatimChar"/>
        </w:rPr>
        <w:t xml:space="preserve">tutional and societal situations, Armenia is poised to make good progress if it\r\ncan effectively and wisely approach corruption, develop their bureaucratic functions such as e-governance, and\r\nUSAID.GOV                                                  </w:t>
      </w:r>
      <w:r>
        <w:rPr>
          <w:rStyle w:val="VerbatimChar"/>
        </w:rPr>
        <w:t xml:space="preserve">   GOVERNANCE IN ARMENIA: AN EVIDENCE REVIEW        | 16\r\n"                                                                                                                                                                                                   </w:t>
      </w:r>
      <w:r>
        <w:rPr>
          <w:rStyle w:val="VerbatimChar"/>
        </w:rPr>
        <w:t xml:space="preserve">                                                                                                                                                                                                                                                                </w:t>
      </w:r>
      <w:r>
        <w:rPr>
          <w:rStyle w:val="VerbatimChar"/>
        </w:rPr>
        <w:t xml:space="preserve">                                                                                                                                                                                                                                                                </w:t>
      </w:r>
      <w:r>
        <w:rPr>
          <w:rStyle w:val="VerbatimChar"/>
        </w:rPr>
        <w:t xml:space="preserve">                                                                                                                                                                                                   </w:t>
      </w:r>
      <w:r>
        <w:br/>
      </w:r>
      <w:r>
        <w:rPr>
          <w:rStyle w:val="VerbatimChar"/>
        </w:rPr>
        <w:t>## [20] "approach institutional decentralization cautiously.</w:t>
      </w:r>
      <w:r>
        <w:rPr>
          <w:rStyle w:val="VerbatimChar"/>
        </w:rPr>
        <w:t xml:space="preserve"> Indeed, for the many reasons discussed above, we are\r\ndubious of the idea that decentralization in Armenia would enhance the quality of democracy or\r\ngovernance. Armenia might be better served by maintaining its unitary system of government.\r\nThe Ar</w:t>
      </w:r>
      <w:r>
        <w:rPr>
          <w:rStyle w:val="VerbatimChar"/>
        </w:rPr>
        <w:t xml:space="preserve">menian government and international actors need to carefully set an agenda for progress that is both\r\nambitious, but cognizant of political realities. This will involve instituting measured changes, including\r\nappropriately and cautiously dealing with </w:t>
      </w:r>
      <w:r>
        <w:rPr>
          <w:rStyle w:val="VerbatimChar"/>
        </w:rPr>
        <w:t xml:space="preserve">the most </w:t>
      </w:r>
      <w:r>
        <w:rPr>
          <w:rStyle w:val="VerbatimChar"/>
        </w:rPr>
        <w:lastRenderedPageBreak/>
        <w:t>corrupt and most influential players in Armenia, which\r\nmay require a longer time-horizon, but should yield steady progress toward establishing a foundation for\r\nmedium to long-term success.\r\n  2.3.       SERVICE DELIVERY\r\nCONTEXT/STATUS\r</w:t>
      </w:r>
      <w:r>
        <w:rPr>
          <w:rStyle w:val="VerbatimChar"/>
        </w:rPr>
        <w:t>\nPublic services include “goods funded and/or directly provided by the state to improve the welfare of citizens”\r\n(Lieberman, 2018). Examples of public services include water, sanitation, electricity, environmental protection,\r\nand education—essential</w:t>
      </w:r>
      <w:r>
        <w:rPr>
          <w:rStyle w:val="VerbatimChar"/>
        </w:rPr>
        <w:t>ly, state-led services that individual citizens “consume”, in the economic sense of the\r\nword. Although many citizens of advanced democracies receive government benefits such pensions and social\r\ninsurance, these are not public services. All public ser</w:t>
      </w:r>
      <w:r>
        <w:rPr>
          <w:rStyle w:val="VerbatimChar"/>
        </w:rPr>
        <w:t>vices are also not necessarily public goods, which must\r\nbe nonrival (one person’s consumption does not affect availability for others) and nonexclusive (impossible to\r\nprovide without making available to mostly everyone) (Pyndick and Rubenfeld, 2009).</w:t>
      </w:r>
      <w:r>
        <w:rPr>
          <w:rStyle w:val="VerbatimChar"/>
        </w:rPr>
        <w:t xml:space="preserve"> Given the significant\r\ndisparities in provision of public services both across and within states, most public services classify as club\r\ngoods (low rivalry, high excludability) or private goods (high rivalry, high excludability. 20 Armenia notably\r\n</w:t>
      </w:r>
      <w:r>
        <w:rPr>
          <w:rStyle w:val="VerbatimChar"/>
        </w:rPr>
        <w:t>suffers from corruption and in differential access to government services in rural areas (World Bank, 2015;\r\nWorld Bank, 2018).\r\nMeasures of Service Delivery. There do not exist unique measures of service delivery across sectors. The\r\nclosest such me</w:t>
      </w:r>
      <w:r>
        <w:rPr>
          <w:rStyle w:val="VerbatimChar"/>
        </w:rPr>
        <w:t>asure is the World Bank’s Worldwide Governance Indicator’s Government Effectiveness score\r\n(Kaufman, Kraay, and Mastruzzi, 2018). The Government Effectiveness variable measures a variety of factors,\r\nincluding information about service delivery as well</w:t>
      </w:r>
      <w:r>
        <w:rPr>
          <w:rStyle w:val="VerbatimChar"/>
        </w:rPr>
        <w:t xml:space="preserve"> as the civil service and bureaucracy more generally. As\r\nthis information may be relevant, Figures 3 and 4 offers some background on government effectiveness in\r\nArmenia relative to other measures of governance, as well as compared to other countries </w:t>
      </w:r>
      <w:r>
        <w:rPr>
          <w:rStyle w:val="VerbatimChar"/>
        </w:rPr>
        <w:t>in the region.\r\nFigure 3 shows Government Effectiveness, along with three other measures: Regulatory Quality, Rule of Law,\r\nand Control of Corruption. Each of these additional measures contains some useful information about service\r\ndelivery and civi</w:t>
      </w:r>
      <w:r>
        <w:rPr>
          <w:rStyle w:val="VerbatimChar"/>
        </w:rPr>
        <w:t>l service reform, but only indirectly. Figure 4 shows just the Government Effectiveness\r\nmeasure but illustrates Armenia relative to the regional comparisons. In both cases, the figures plot global\r\nrankings for Armenia and its regional comparison coun</w:t>
      </w:r>
      <w:r>
        <w:rPr>
          <w:rStyle w:val="VerbatimChar"/>
        </w:rPr>
        <w:t>tries.\r\n20 Rarely do public services fall within the rubric of common resources (high rivalry, low excludability). For a discussion of\r\ncommon resources, see Ostrom (1990).\r\nUSAID.GOV                                                           GOVERNAN</w:t>
      </w:r>
      <w:r>
        <w:rPr>
          <w:rStyle w:val="VerbatimChar"/>
        </w:rPr>
        <w:t xml:space="preserve">CE IN ARMENIA: AN EVIDENCE REVIEW                  | 17\r\n"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[21] "Figure 4.\r\n   Figure 3. Armenia’s Global Ranking on Various Governance Measures\r\nUSAID.GOV                                         </w:t>
      </w:r>
      <w:r>
        <w:rPr>
          <w:rStyle w:val="VerbatimChar"/>
        </w:rPr>
        <w:t xml:space="preserve">   GOVERNANCE IN ARMENIA: AN EVIDENCE REVIEW | 18\r\n"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[22] "FACTORS PROMOTING/HINDERING\r\nEthnicity and Social Cohesiveness. Numerous studies have shown that ethnic tensions are one of the\r\nmost consistent and significant impediments to public service delivery (Alesina, Baqir</w:t>
      </w:r>
      <w:r>
        <w:rPr>
          <w:rStyle w:val="VerbatimChar"/>
        </w:rPr>
        <w:t>, and Easterly, 1999;\r\nMiguel and Gugerty, 2005; Habyarimana et al., 2007). Although the measurement of ethnic heterogeneity or\r\n“fractionalization” 21 was an issue in earlier studies (Selway, 2011), later studies confirm ethnicity that drives\r\npubli</w:t>
      </w:r>
      <w:r>
        <w:rPr>
          <w:rStyle w:val="VerbatimChar"/>
        </w:rPr>
        <w:t xml:space="preserve">c service provision (Burgess et al., 2015; Alesina, Michalopoulos, and Papaioannou 2016). Since </w:t>
      </w:r>
      <w:r>
        <w:rPr>
          <w:rStyle w:val="VerbatimChar"/>
        </w:rPr>
        <w:lastRenderedPageBreak/>
        <w:t>Armenia\r\nis a mono-ethnic country with essentially one religion and is very societally cohesive, it bodes well for the\r\ncountry’s ability to overcome public</w:t>
      </w:r>
      <w:r>
        <w:rPr>
          <w:rStyle w:val="VerbatimChar"/>
        </w:rPr>
        <w:t xml:space="preserve"> service delivery challenges.\r\nPoverty and State Capacity. Poverty and insufficient state capacity are clearly determinants of service\r\ndelivery. Armenia is a middle-income country and seems to be at level of development in which it would not\r\nbe sub</w:t>
      </w:r>
      <w:r>
        <w:rPr>
          <w:rStyle w:val="VerbatimChar"/>
        </w:rPr>
        <w:t>ject to “poverty traps”: that is, at levels of poverty such that investment in services would have no\r\neffect, due to other countervailing factors (Sachs, 2005; Banerjee and Duflo, 2012). That said, if Armenia\r\ndecides to go forth with decentralization</w:t>
      </w:r>
      <w:r>
        <w:rPr>
          <w:rStyle w:val="VerbatimChar"/>
        </w:rPr>
        <w:t xml:space="preserve">, it could cause further complications in terms of the state’s capacity\r\nto deliver services (Besley and Person, 2011; Mookerjee, 2015).\r\nDemocracy. Democracies have larger ruling coalitions than autocracies (Bueno de Mesquita et al., 2003;\r\nSvolik, </w:t>
      </w:r>
      <w:r>
        <w:rPr>
          <w:rStyle w:val="VerbatimChar"/>
        </w:rPr>
        <w:t>2012). Because democracies have to answer to more constituents (Manin, Przeworksi, and\r\nStokes, 1999), and patronage is expensive (Gingerich, 2013; Robbinson and Verdier, 2013; Lizzieri and\r\nPersico, 2004), democracies provide more public services to t</w:t>
      </w:r>
      <w:r>
        <w:rPr>
          <w:rStyle w:val="VerbatimChar"/>
        </w:rPr>
        <w:t>heir citizens than autocracies. There is\r\nsupporting evidence from sectors such as health, education, environmental protection, nutrition, road\r\ninfrastructure, and electricity (Lake and Baum, 2001; Bueno de Mesquita et al., 2003; Bernauer and\r\nKoubi</w:t>
      </w:r>
      <w:r>
        <w:rPr>
          <w:rStyle w:val="VerbatimChar"/>
        </w:rPr>
        <w:t>, 2009; Burgess et al., 2015; Blaydes and Kayser, 2011; Min, 2015; Lizzeri and Persico, 2004; Cao\r\nand Ward, 2015; Harding and Stasavage, 2014; Besley and Kudamatsu, 2006; Kudamatsu, 2012). As\r\nArmenia continues to democratize, it should continue to im</w:t>
      </w:r>
      <w:r>
        <w:rPr>
          <w:rStyle w:val="VerbatimChar"/>
        </w:rPr>
        <w:t>prove its provision of public services.\r\nUrban Bias and Consequences for Rural Hinterlands. There is consensus in the literature that, as\r\ncompared to urban areas, rural ones generally suffer from underprovision of public services (Brinkerhoff,\r\nWett</w:t>
      </w:r>
      <w:r>
        <w:rPr>
          <w:rStyle w:val="VerbatimChar"/>
        </w:rPr>
        <w:t xml:space="preserve">erberg, and Wibbels, 2018; Kosec and Wantchekon, 2019). Part of the reason has to do with the so-\r\ncalled “streetlight effect”: the fact that it is easier to provide services to urban areas that are both\r\naccessible by road and have larger populations </w:t>
      </w:r>
      <w:r>
        <w:rPr>
          <w:rStyle w:val="VerbatimChar"/>
        </w:rPr>
        <w:t xml:space="preserve">from which services providers can draw for their labor\r\npools.\r\nUrban bias is particularly a concern in states that are more authoritarian. Authoritarian regimes\r\nunderprovide public services to rural areas because, generally, it is harder for rural </w:t>
      </w:r>
      <w:r>
        <w:rPr>
          <w:rStyle w:val="VerbatimChar"/>
        </w:rPr>
        <w:t>citizens to generate\r\nthe collective action power necessary to threaten the stability of the regime, which is the primary\r\nconcern of authoritarian rulers. By contrast, urban residents can mobilize collective action much faster,\r\nand urban collective</w:t>
      </w:r>
      <w:r>
        <w:rPr>
          <w:rStyle w:val="VerbatimChar"/>
        </w:rPr>
        <w:t xml:space="preserve"> action can quickly threaten the stability of an authoritarian regime. Consequently,\r\nauthoritarian regimes pay much more attention to urban needs and service delivery than rural ones, and\r\ntend to have higher concentrations of its citizens that live i</w:t>
      </w:r>
      <w:r>
        <w:rPr>
          <w:rStyle w:val="VerbatimChar"/>
        </w:rPr>
        <w:t>n urban areas (Bates 1981; Ades and Glaeser,\r\n1995; Pierskalla 2016; Ballard-Rosa, 2016; Kim and Urpelainen 2016). Rural-urban divides in public\r\nservice provision are generally less salient in democratic regimes. Some democracies have\r\n21 The concep</w:t>
      </w:r>
      <w:r>
        <w:rPr>
          <w:rStyle w:val="VerbatimChar"/>
        </w:rPr>
        <w:t>t of fractionalization “measures the likelihood that if two persons were selected at random, they would be from\r\nthe same ethnic group” (Bates, 2017: 57). Soviet ethnographers carried out the first analysis of fractionalization across the\r\nworld during</w:t>
      </w:r>
      <w:r>
        <w:rPr>
          <w:rStyle w:val="VerbatimChar"/>
        </w:rPr>
        <w:t xml:space="preserve"> the 1960s (see Mauro 1995), and researchers used the Soviet measurement until Alesina et al (2003) came out\r\nwith a more comprehensive measure.\r\nUSAID.GOV                                                             </w:t>
      </w:r>
      <w:r>
        <w:rPr>
          <w:rStyle w:val="VerbatimChar"/>
        </w:rPr>
        <w:lastRenderedPageBreak/>
        <w:t>GOVERNANCE IN ARMENIA: AN EVIDENCE R</w:t>
      </w:r>
      <w:r>
        <w:rPr>
          <w:rStyle w:val="VerbatimChar"/>
        </w:rPr>
        <w:t xml:space="preserve">EVIEW               | 19\r\n"                                                                                                                                                                                                                                   </w:t>
      </w:r>
      <w:r>
        <w:rPr>
          <w:rStyle w:val="VerbatimChar"/>
        </w:rPr>
        <w:t xml:space="preserve">                                                                                                                                                                                                                                                                </w:t>
      </w:r>
      <w:r>
        <w:rPr>
          <w:rStyle w:val="VerbatimChar"/>
        </w:rPr>
        <w:t xml:space="preserve">                                                                                                                                                                                                       </w:t>
      </w:r>
      <w:r>
        <w:br/>
      </w:r>
      <w:r>
        <w:rPr>
          <w:rStyle w:val="VerbatimChar"/>
        </w:rPr>
        <w:t>## [23] "malapportionement 22 in their electoral systems</w:t>
      </w:r>
      <w:r>
        <w:rPr>
          <w:rStyle w:val="VerbatimChar"/>
        </w:rPr>
        <w:t xml:space="preserve"> that accord more electoral weight to rural areas (Bayer\r\nand Urpelainen, 2016), and variation of district magnitude can produce similar effects in proportional\r\nrepresentation systems (Monroe and Rose, 2002). Additionally, many democracies belong to c</w:t>
      </w:r>
      <w:r>
        <w:rPr>
          <w:rStyle w:val="VerbatimChar"/>
        </w:rPr>
        <w:t xml:space="preserve">lubs such\r\nas the European Union, ASEAN, and Mercosur that finance public service provision in rural areas for\r\nmore needy member states. Accordingly, Armenia’s political transition and its move toward democracy\r\nshould enable the country to improve </w:t>
      </w:r>
      <w:r>
        <w:rPr>
          <w:rStyle w:val="VerbatimChar"/>
        </w:rPr>
        <w:t>existing rural service delivery challenges.\r\nHistorical State Presence and Elite History. The presence of a pre-colonial historical state is one of\r\nthe most consistent predictors of current day economic development (Michalopoulos and Papaioannou\r\n20</w:t>
      </w:r>
      <w:r>
        <w:rPr>
          <w:rStyle w:val="VerbatimChar"/>
        </w:rPr>
        <w:t>13; Donaldson and Storeygard 2016; Pierskalla, Schultz, and Wibbels, 2017). Since these studies proxy\r\nfor economic development through satellite-generated measures of present-day nighttime electricity, we\r\ncan be sure that the presence of a historical</w:t>
      </w:r>
      <w:r>
        <w:rPr>
          <w:rStyle w:val="VerbatimChar"/>
        </w:rPr>
        <w:t xml:space="preserve"> state contributes to public service provision as well. By the\r\nsame token, the historical presence of elites in an area can lead to less service provision (Pandey, 2010).\r\nAt the moment, it is difficult to disentangle the effect of the historical stat</w:t>
      </w:r>
      <w:r>
        <w:rPr>
          <w:rStyle w:val="VerbatimChar"/>
        </w:rPr>
        <w:t xml:space="preserve">e on effect in Armenia, which\r\nhas a long history and underwent colonization from Ottoman Empire (Michalopoulos, Naghavi, and\r\nPrarolo, 2016; Derlugian and Hovhannisyan, 2018).\r\nTransparency. E-government such as in procurement (Lewis-Faupel et al., </w:t>
      </w:r>
      <w:r>
        <w:rPr>
          <w:rStyle w:val="VerbatimChar"/>
        </w:rPr>
        <w:t xml:space="preserve">2016), freedom of\r\ninformation requests (Escaleras, Lin and Register, 2010; Islam, 2006) and greater transparency of\r\ninformation can help citizens keep politicians accountable and lead to better service provision, particularly\r\nin young democracies </w:t>
      </w:r>
      <w:r>
        <w:rPr>
          <w:rStyle w:val="VerbatimChar"/>
        </w:rPr>
        <w:t>such as Armenia (Hollyer, Rosendorff and Vreeland, 2018; Keefer and Khemani, 2005;\r\nBanerjee et al., 2018). We discuss this more in depth below, but generally note that Armenia should continue\r\nits implementation of its e-governance strategy, particula</w:t>
      </w:r>
      <w:r>
        <w:rPr>
          <w:rStyle w:val="VerbatimChar"/>
        </w:rPr>
        <w:t>rly given its educated population with a\r\npenchant for protest.\r\nREFORM/INTERVENTION EXAMPLES\r\nAudits. Audits can help expose corrupt politicians (Ferraz and Finan, 2008), ensure development projects are\r\ncompleted according to specification (Olken</w:t>
      </w:r>
      <w:r>
        <w:rPr>
          <w:rStyle w:val="VerbatimChar"/>
        </w:rPr>
        <w:t>, 2007), and reduce political corruption at least in the short-term\r\n(Di Tella and Schargrodsky, 2003; Bobonis, Fuertes and Schwabe, 2016; Ferraz and Finan, 2011; Avis, Ferraz\r\nand Finan, 2018). One way to stretch limited funds, ensure fairness, and pr</w:t>
      </w:r>
      <w:r>
        <w:rPr>
          <w:rStyle w:val="VerbatimChar"/>
        </w:rPr>
        <w:t>event politicians from\r\nmanipulating the audit process is to randomize it, for which Brazil offers a wealth of positive experience\r\n(Ferraz and Finan, 2018). Although the recent assessments of the Armenian Audit Chamber are generally\r\npositive, rando</w:t>
      </w:r>
      <w:r>
        <w:rPr>
          <w:rStyle w:val="VerbatimChar"/>
        </w:rPr>
        <w:t>mization of audits may offer one way to alter and break-up perceptions of a negative,\r\nsymbiotic relationship between elites, oligarchs and the state (OECD, 2018; Wicksberg and Hoktanyan,\r\n2013; Shahnazarian, N.d.; Iskandaryan, 2012). We provide more d</w:t>
      </w:r>
      <w:r>
        <w:rPr>
          <w:rStyle w:val="VerbatimChar"/>
        </w:rPr>
        <w:t>etails in the Integrity Systems and Rule\r\nof Law Evidence Review also under this tasking (USAID, 2019b).\r\nCommunicating Directly with Politicians. Beyond what measures government can induce from the top,\r\ncitizens can utilize technology to promote be</w:t>
      </w:r>
      <w:r>
        <w:rPr>
          <w:rStyle w:val="VerbatimChar"/>
        </w:rPr>
        <w:t xml:space="preserve">tter governance outcomes as well (World Bank, 2004;\r\nKosack and Fung, 2014). Evidence from Uganda indicates that when citizens can text politicians directly,\r\npoliticians are less corrupt (Buntaine et al., </w:t>
      </w:r>
      <w:r>
        <w:rPr>
          <w:rStyle w:val="VerbatimChar"/>
        </w:rPr>
        <w:lastRenderedPageBreak/>
        <w:t>2018). Although politicians may not always del</w:t>
      </w:r>
      <w:r>
        <w:rPr>
          <w:rStyle w:val="VerbatimChar"/>
        </w:rPr>
        <w:t>iver better\r\nservices in response to more information, since service provision may be out of their control, the\r\npoliticians are ultimately more responsive to citizens (Grossman and Michelitch, 2018). If citizens provide\r\n22 Malapportionment refers t</w:t>
      </w:r>
      <w:r>
        <w:rPr>
          <w:rStyle w:val="VerbatimChar"/>
        </w:rPr>
        <w:t>o “the discrepancy between the shares of legislative seats and the shares of population held by\r\ngeographical units” (Samuels and Snyder, 2001: 652).\r\nUSAID.GOV                                                        GOVERNANCE IN ARMENIA: AN EVIDENCE R</w:t>
      </w:r>
      <w:r>
        <w:rPr>
          <w:rStyle w:val="VerbatimChar"/>
        </w:rPr>
        <w:t xml:space="preserve">EVIEW                | 20\r\n"                                                                                                                                                                                                                                  </w:t>
      </w:r>
      <w:r>
        <w:rPr>
          <w:rStyle w:val="VerbatimChar"/>
        </w:rPr>
        <w:t xml:space="preserve">                                                                                                                                                                                                                                                                </w:t>
      </w:r>
      <w:r>
        <w:rPr>
          <w:rStyle w:val="VerbatimChar"/>
        </w:rPr>
        <w:t xml:space="preserve">                                                                                                                                                                                                                                                                </w:t>
      </w:r>
      <w:r>
        <w:rPr>
          <w:rStyle w:val="VerbatimChar"/>
        </w:rPr>
        <w:t xml:space="preserve">                                                                                                                   </w:t>
      </w:r>
      <w:r>
        <w:br/>
      </w:r>
      <w:r>
        <w:rPr>
          <w:rStyle w:val="VerbatimChar"/>
        </w:rPr>
        <w:t>## [24] "actionable information to politicians (Grossman, Platas, and Rodden, 2018), Armenia may have success\r\nwith similar platforms, esp</w:t>
      </w:r>
      <w:r>
        <w:rPr>
          <w:rStyle w:val="VerbatimChar"/>
        </w:rPr>
        <w:t>ecially given the momentum from its 2018 political transition.\r\nGrievance Redress Mechanisms, Social Audits, and Hotlines. Grievance redress mechanisms\r\n(GRMs) are “locally based, formalized ways to accept, assess, and resolve community feedback or\r\n</w:t>
      </w:r>
      <w:r>
        <w:rPr>
          <w:rStyle w:val="VerbatimChar"/>
        </w:rPr>
        <w:t>complaints” (World Bank, 2013: 1). Overall, GRMs provide a way to address feedback from\r\ncommunities in a meaningful way, notably at early stages of development interventions—for example,\r\nbefore minor grievances can develop into major problems. Many c</w:t>
      </w:r>
      <w:r>
        <w:rPr>
          <w:rStyle w:val="VerbatimChar"/>
        </w:rPr>
        <w:t>ountries have their own GRMs, but in\r\nsome cases it may be necessary for development financiers to initiate project- or intervention-specific\r\nGRMs. That is especially the case for development projects that trigger social and environmental risk\r\nmana</w:t>
      </w:r>
      <w:r>
        <w:rPr>
          <w:rStyle w:val="VerbatimChar"/>
        </w:rPr>
        <w:t>gement (i.e. “safeguard”) policies, such as those pertaining to indigenous peoples, involuntary\r\nresettlement, and the environment. Grievance redress mechanisms differ in their procedures and\r\nstructures, including the extent to which complaints are fi</w:t>
      </w:r>
      <w:r>
        <w:rPr>
          <w:rStyle w:val="VerbatimChar"/>
        </w:rPr>
        <w:t>led, advertised to potential beneficiaries,\r\naddressed within certain timeframes, etc. (World Bank, 2012). What is clear, though, is that having a\r\nhotline for beneficiary complaints or a formal grievance redress mechanism can alert bureaucrats to\r\ns</w:t>
      </w:r>
      <w:r>
        <w:rPr>
          <w:rStyle w:val="VerbatimChar"/>
        </w:rPr>
        <w:t>ervice delivery issues and improve performance. Alternatively, aid agencies and policymakers may wish\r\nto consider social audits: “mechanisms in which information on expenditures and implementation\r\nproblems is gathered and then presented for discussio</w:t>
      </w:r>
      <w:r>
        <w:rPr>
          <w:rStyle w:val="VerbatimChar"/>
        </w:rPr>
        <w:t>n in a public meeting involving all stakeholders”\r\n(Joshi, 2013: S38). More recently, the World Bank has used social audits for project beneficiaries to take\r\npictures of project implementation. Since there does not appear to be any side effects of hot</w:t>
      </w:r>
      <w:r>
        <w:rPr>
          <w:rStyle w:val="VerbatimChar"/>
        </w:rPr>
        <w:t>lines,\r\ngrievance redress mechanisms, or social audits, Armenia may wish to consider them, as appropriate.\r\nCommunity-Based Monitoring. The literature on community-based monitoring does not provide\r\nconclusive results, but the results are not fully n</w:t>
      </w:r>
      <w:r>
        <w:rPr>
          <w:rStyle w:val="VerbatimChar"/>
        </w:rPr>
        <w:t>egative in terms of public service delivery (Casey, 2018).\r\nFor example, a series of experiments monitoring the Ugandan health sector suggest that community-\r\nbased monitoring is most effective when monitors are more intelligent, there is less ethnic\r</w:t>
      </w:r>
      <w:r>
        <w:rPr>
          <w:rStyle w:val="VerbatimChar"/>
        </w:rPr>
        <w:t>\nfractionalization, and there is less inequality (Björkman and Svensson, 2009; Björkman and Svensson,\r\n2010; Björkman, de Walque, and Svensson 2017). However, in an education intervention in India,\r\nBanerjee et al (2010) find that community-based moni</w:t>
      </w:r>
      <w:r>
        <w:rPr>
          <w:rStyle w:val="VerbatimChar"/>
        </w:rPr>
        <w:t>toring through village councils had no impact on\r\nservice provision. Additionally, Olken (2007) found that community-based monitoring through village-\r\nlevel accountability meetings in Indonesia was less effective in facilitating public service provisi</w:t>
      </w:r>
      <w:r>
        <w:rPr>
          <w:rStyle w:val="VerbatimChar"/>
        </w:rPr>
        <w:t xml:space="preserve">on (i.e.,\r\nroad construction) than technical audits of core samples conducted by outside firms.\r\nMany scholars and </w:t>
      </w:r>
      <w:r>
        <w:rPr>
          <w:rStyle w:val="VerbatimChar"/>
        </w:rPr>
        <w:lastRenderedPageBreak/>
        <w:t>practitioners in the development community have interpreted the results from Olken\r\n(2007), Banerjee et al. (2010), and recent failures</w:t>
      </w:r>
      <w:r>
        <w:rPr>
          <w:rStyle w:val="VerbatimChar"/>
        </w:rPr>
        <w:t xml:space="preserve"> to fully replicate the Björkman and Svensson\r\nexperiments 23 as confirmation that community-based monitoring is ineffective, but Fox (2015) provides\r\na more nuanced assessment. For Olken (2007), the KDP development program that he studied had\r\nalrea</w:t>
      </w:r>
      <w:r>
        <w:rPr>
          <w:rStyle w:val="VerbatimChar"/>
        </w:rPr>
        <w:t>dy mobilized citizens years before his intervention, and Banerjee et al. (2010) relied on village\r\ncouncils that were comprised and determined by elites, who were susceptible to capture (see Bardhan\r\nand Mookherjee, 2006). Accordingly, as Fox (2015) po</w:t>
      </w:r>
      <w:r>
        <w:rPr>
          <w:rStyle w:val="VerbatimChar"/>
        </w:rPr>
        <w:t>ints out, neither study provided a truly zero\r\nbaseline from which to judge program effectiveness, a critique in line with recent debates about the\r\npitfalls of p-values and null hypothesis significance testing in social science.24\r\n23 See a recent w</w:t>
      </w:r>
      <w:r>
        <w:rPr>
          <w:rStyle w:val="VerbatimChar"/>
        </w:rPr>
        <w:t>orking paper by Raffler, Posner, and Parkinson (2018).\r\n24 Most social science studies calculate statistical significance through null hypothesis significance testing, a procedure that\r\nentails calculating p-value statistics. Studies using p-values gen</w:t>
      </w:r>
      <w:r>
        <w:rPr>
          <w:rStyle w:val="VerbatimChar"/>
        </w:rPr>
        <w:t xml:space="preserve">erally set the null hypothesis equal to zero, meaning that the\r\nbaseline effect is always zero. Famously, Andrew Gelman has argued that zero cannot be the baseline for any social science\r\nUSAID.GOV                                                       </w:t>
      </w:r>
      <w:r>
        <w:rPr>
          <w:rStyle w:val="VerbatimChar"/>
        </w:rPr>
        <w:t xml:space="preserve">          GOVERNANCE IN ARMENIA: AN EVIDENCE REVIEW              | 21\r\n"                                                                                                                                                                                      </w:t>
      </w:r>
      <w:r>
        <w:rPr>
          <w:rStyle w:val="VerbatimChar"/>
        </w:rPr>
        <w:t xml:space="preserve">                                                                                                                                                                                                                                                                </w:t>
      </w:r>
      <w:r>
        <w:rPr>
          <w:rStyle w:val="VerbatimChar"/>
        </w:rPr>
        <w:t xml:space="preserve">                               </w:t>
      </w:r>
      <w:r>
        <w:br/>
      </w:r>
      <w:r>
        <w:rPr>
          <w:rStyle w:val="VerbatimChar"/>
        </w:rPr>
        <w:t>## [25] "More broadly, the effectiveness of a community-based monitoring intervention—or participatory\r\nprogram more generally—depends neither just on the voice-related measures that the intervention\r\nfosters nor the suc</w:t>
      </w:r>
      <w:r>
        <w:rPr>
          <w:rStyle w:val="VerbatimChar"/>
        </w:rPr>
        <w:t>cess of the one particular intervention. Instead, participatory programs are more\r\nsuccessful when there is state capacity, especially in the form of horizontal accountability, 25 to hold\r\nbureaucrats and politicians accountable for acting on the findi</w:t>
      </w:r>
      <w:r>
        <w:rPr>
          <w:rStyle w:val="VerbatimChar"/>
        </w:rPr>
        <w:t>ngs of the participatory interventions (Fox,\r\n2015). Although horizontal accountability is a challenge for Armenia, the country does have a highly-\r\neducated and cohesive population that effectively spurred its 2018 political transition. Combining thes</w:t>
      </w:r>
      <w:r>
        <w:rPr>
          <w:rStyle w:val="VerbatimChar"/>
        </w:rPr>
        <w:t>e\r\nfactors with the consensus that participatory programs tend to increase citizen-level satisfaction with\r\ngovernment (Beath et al, 2017; Casey, 2018), it indicates that community-based monitoring could be\r\nuseful for Armenia.\r\nRight to Informatio</w:t>
      </w:r>
      <w:r>
        <w:rPr>
          <w:rStyle w:val="VerbatimChar"/>
        </w:rPr>
        <w:t>n Laws, Freedom of Information Requests, and Transparency Laws. Under\r\nmany circumstances, politicians and bureaucrats may not improve service delivery without some sort of\r\ncommitment device. One such device can be a right to information law, also kno</w:t>
      </w:r>
      <w:r>
        <w:rPr>
          <w:rStyle w:val="VerbatimChar"/>
        </w:rPr>
        <w:t>wn as a transparency\r\nlaw. As a set of field experiments in India show, right to information laws can increase service delivery\r\noutputs and are almost as effective as bribery in doing so (Peisakhin and Pinto, 2010; Peisakhin, 2012).\r\nArmenia may thu</w:t>
      </w:r>
      <w:r>
        <w:rPr>
          <w:rStyle w:val="VerbatimChar"/>
        </w:rPr>
        <w:t>s wish to consider an adopting a right to information law and accompanying e-\r\ngovernance platform that makes right to information requests easy for citizens and hard for bureaucrats\r\nand politicians to ignore.\r\nCitizen Service Centers, Citizens Guid</w:t>
      </w:r>
      <w:r>
        <w:rPr>
          <w:rStyle w:val="VerbatimChar"/>
        </w:rPr>
        <w:t>e to the Budget, and Benchmarking. Citizen Service Centers,\r\nalso called one-stop-shops, one window systems, and citizen facilitation centers, are hubs that provide\r\ncitizens access to government services all in one location. The states of Sao Paolo in</w:t>
      </w:r>
      <w:r>
        <w:rPr>
          <w:rStyle w:val="VerbatimChar"/>
        </w:rPr>
        <w:t xml:space="preserve"> Brazil, Andra\r\nPradesh in India, and New Delhi in India have used Citizens Service Centers with particular success, and\r\nthey are far from the only ones (World Bank, 2011). A recent review suggests that </w:t>
      </w:r>
      <w:r>
        <w:rPr>
          <w:rStyle w:val="VerbatimChar"/>
        </w:rPr>
        <w:lastRenderedPageBreak/>
        <w:t>at least 77 countries\r\nare employing Citizen S</w:t>
      </w:r>
      <w:r>
        <w:rPr>
          <w:rStyle w:val="VerbatimChar"/>
        </w:rPr>
        <w:t>ervice Centers (Pfeil et al., 2016). Ideally, they should provide citizens with a\r\nclear guide to the budget and benchmarking on the amount of services that citizens receive. Armenia has\r\nstarted using Citizen Service Centers, but their effectiveness a</w:t>
      </w:r>
      <w:r>
        <w:rPr>
          <w:rStyle w:val="VerbatimChar"/>
        </w:rPr>
        <w:t>nd how many functions they serve is\r\nunclear.\r\nCitizen Report Cards. Citizen report cards are surveys of citizens regarding their use of public services\r\nor government officials, usually completed with an NGO or research institute (Agarwal, Post, and</w:t>
      </w:r>
      <w:r>
        <w:rPr>
          <w:rStyle w:val="VerbatimChar"/>
        </w:rPr>
        <w:t>\r\nVenugopal, 2013). A scorecard of members of the Ugandan parliament did not change politicians’\r\nbehavior, even with a media campaign (Humphreys and Weinstein, 2012). However, scorecards of\r\npoliticians’ corruption levels in Mexico changed voters’ b</w:t>
      </w:r>
      <w:r>
        <w:rPr>
          <w:rStyle w:val="VerbatimChar"/>
        </w:rPr>
        <w:t>ehavior. Specifically, it hurt electoral prospects\r\nfor relatively corrupt mayors, but made some voters abstain from voting (Chong et al., 2015). If Armenia\r\nconsiders citizen report cards, it would be wise to take into consideration that some accounta</w:t>
      </w:r>
      <w:r>
        <w:rPr>
          <w:rStyle w:val="VerbatimChar"/>
        </w:rPr>
        <w:t>bility\r\ntools like citizen report cards can have negative externalities.\r\nParticipatory Budgeting. Having citizens decide a certain portion of how local governments spend\r\ntheir money has improved perceptions of democracy and service delivery in Braz</w:t>
      </w:r>
      <w:r>
        <w:rPr>
          <w:rStyle w:val="VerbatimChar"/>
        </w:rPr>
        <w:t xml:space="preserve">il, Mexico, and India.\r\nThe Brazil studies attribute also participatory budgeting to a drop in infant mortality, a crucial indicator\r\nintervention, given that social science does not take place in a vacuum (e.g., Gelman and Carlin, 2017). Accordingly, </w:t>
      </w:r>
      <w:r>
        <w:rPr>
          <w:rStyle w:val="VerbatimChar"/>
        </w:rPr>
        <w:t>Gelman\r\nhas argued that social science should use more Bayesian statistics, which does not suffer from the same pitfalls of null\r\nhypothesis significance testing and p-values.\r\n25 Again, horizontal accountability refers the ability of state-level ins</w:t>
      </w:r>
      <w:r>
        <w:rPr>
          <w:rStyle w:val="VerbatimChar"/>
        </w:rPr>
        <w:t xml:space="preserve">titutions to exert checks and balances on each other\r\n(O’Donnell, 1998).\r\nUSAID.GOV                                                                GOVERNANCE IN ARMENIA: AN EVIDENCE REVIEW            | 22\r\n"                                           </w:t>
      </w:r>
      <w:r>
        <w:rPr>
          <w:rStyle w:val="VerbatimChar"/>
        </w:rPr>
        <w:t xml:space="preserve">                                                                                                                                                                                                                                                                </w:t>
      </w:r>
      <w:r>
        <w:rPr>
          <w:rStyle w:val="VerbatimChar"/>
        </w:rPr>
        <w:t xml:space="preserve">                                                                                                                                                                                                                                                                </w:t>
      </w:r>
      <w:r>
        <w:rPr>
          <w:rStyle w:val="VerbatimChar"/>
        </w:rPr>
        <w:t xml:space="preserve">                                                                                                                                                                                                           </w:t>
      </w:r>
      <w:r>
        <w:br/>
      </w:r>
      <w:r>
        <w:rPr>
          <w:rStyle w:val="VerbatimChar"/>
        </w:rPr>
        <w:t>## [26] "for development (Touchton and Wampler 2013;</w:t>
      </w:r>
      <w:r>
        <w:rPr>
          <w:rStyle w:val="VerbatimChar"/>
        </w:rPr>
        <w:t xml:space="preserve"> Touchton, Sugiyama, and Wampler 2017). At a smaller-\r\nscale, results were similar in terms of perceptions for community-driven development projects in\r\nIndonesia and Afghanistan (Olken, 2010; Beath, 2017). Against this backdrop, Armenia may want to\r\</w:t>
      </w:r>
      <w:r>
        <w:rPr>
          <w:rStyle w:val="VerbatimChar"/>
        </w:rPr>
        <w:t>nconsider participatory budgeting programs, especially if it pushes forward with decentralization.\r\nSocial Programs. Both Mexico and Brazil, in particular, have enjoyed particular success with their conditional\r\ncash transfer programs: Oportunidades (M</w:t>
      </w:r>
      <w:r>
        <w:rPr>
          <w:rStyle w:val="VerbatimChar"/>
        </w:rPr>
        <w:t>exico) and Bolsa Familia (Brazil). The idea behind these social\r\nprograms is that they target the poor, and beneficiaries have to do something in exchange (e.g., send their\r\nchildren to school and the doctor) to continue receiving the benefits. In Braz</w:t>
      </w:r>
      <w:r>
        <w:rPr>
          <w:rStyle w:val="VerbatimChar"/>
        </w:rPr>
        <w:t>il, Bolsa Familia has not only\r\ncontributed a lowering of inequality but also the decline of clientelism and formation of true citizens (Hunter\r\nand Sugiyama 2014, Sugiyama 2016, Sugiyama and Hunter 2013, Lindert et al. 2007). 26 For Mexico, some\r\nre</w:t>
      </w:r>
      <w:r>
        <w:rPr>
          <w:rStyle w:val="VerbatimChar"/>
        </w:rPr>
        <w:t>search appears to suggest that Oportunidades contributed to the decline of clientelism (De La O, 2015), but\r\na new article indicates that De La O’s (2015) finding is the result of a coding error (Imai, King, and Velasco,\r\n2019). Regardless, it is clear</w:t>
      </w:r>
      <w:r>
        <w:rPr>
          <w:rStyle w:val="VerbatimChar"/>
        </w:rPr>
        <w:t xml:space="preserve"> that social programs create legitimacy and confidence in the state. These two\r\noutputs, in the very least, would be useful for the new Armenian government.\r\nLEARNING FROM REGIONAL/SIMILAR COUNTRY EXPERIENCE\r\nGeorgia’s success at limiting petty corru</w:t>
      </w:r>
      <w:r>
        <w:rPr>
          <w:rStyle w:val="VerbatimChar"/>
        </w:rPr>
        <w:t xml:space="preserve">ption in service delivery under the leadership of President\r\nMikheil Saakashvili is a point of reference for Armenia. As </w:t>
      </w:r>
      <w:r>
        <w:rPr>
          <w:rStyle w:val="VerbatimChar"/>
        </w:rPr>
        <w:lastRenderedPageBreak/>
        <w:t>Table 1 (above) shows, measures of\r\ncorruption declined dramatically and immediately following Georgia’s political transition in 20</w:t>
      </w:r>
      <w:r>
        <w:rPr>
          <w:rStyle w:val="VerbatimChar"/>
        </w:rPr>
        <w:t xml:space="preserve">04.\r\nSaakashvili orchestrated these decreases in corruption through a “big bang” approach, with many\r\nreforms at once, and lots of “learning by doing” (Di Puppo, 2010). The country also relied heavily on\r\nWestern pressure to draft an anti-corruption </w:t>
      </w:r>
      <w:r>
        <w:rPr>
          <w:rStyle w:val="VerbatimChar"/>
        </w:rPr>
        <w:t>strategy, as well as Western support to finance a number\r\nof projects related to service delivery (Di Puppo, 2010). 27 Saakashvili and his cadre of reformers,\r\nnevertheless, undertook the majority of the work, often with the help of new information tec</w:t>
      </w:r>
      <w:r>
        <w:rPr>
          <w:rStyle w:val="VerbatimChar"/>
        </w:rPr>
        <w:t>hnology\r\nand e-governance, including at the Public Registry (Schalkwyk, 2010; Mungiu-Pippidi, 2016). Additionally,\r\nGeorgia created many citizen service centers to facilitate document processing (Anderson, 2018). As\r\ndescribed above, Armenia is alrea</w:t>
      </w:r>
      <w:r>
        <w:rPr>
          <w:rStyle w:val="VerbatimChar"/>
        </w:rPr>
        <w:t>dy following in Georgia’s footsteps concerning e-governance and\r\ncitizen service centers, and should continue with these efforts to improve service delivery. It is unlikely\r\nthat Armenia can implement reforms at the same pace as Georgia, though. Armeni</w:t>
      </w:r>
      <w:r>
        <w:rPr>
          <w:rStyle w:val="VerbatimChar"/>
        </w:rPr>
        <w:t>a’s geopolitical\r\nconsiderations described in Section 1 of this report provides one constraint. Another relates to the fact\r\nthat Georgia during the Saakashvili era was a competitive authoritarian regime with less constraints on\r\nthe executive (Levit</w:t>
      </w:r>
      <w:r>
        <w:rPr>
          <w:rStyle w:val="VerbatimChar"/>
        </w:rPr>
        <w:t>sky and Way, 2010), whereas current day Armenia will have the more robust\r\ndemocratic institutions described in Section 2.2.\r\nMoldova has improved service delivery since its political transition in 2009 with help from two e-governance\r\ntransformation</w:t>
      </w:r>
      <w:r>
        <w:rPr>
          <w:rStyle w:val="VerbatimChar"/>
        </w:rPr>
        <w:t xml:space="preserve"> projects financed by the World Bank. However, citizen-level satisfaction with service delivery\r\nremains extremely low, and political dynamics have constrained the country from making further progress\r\n(World Bank, 2017a, 2017b; Munteanu, 2018). Since </w:t>
      </w:r>
      <w:r>
        <w:rPr>
          <w:rStyle w:val="VerbatimChar"/>
        </w:rPr>
        <w:t>Georgia was able imprison its oligarchs with high-level,\r\ntelevised arrests (Di Puppo, 2010), but Moldova has not done so, it seems to suggest that oligarch influence\r\nslows down service delivery reforms too (see also, Anderson, 2018). If so, it sugges</w:t>
      </w:r>
      <w:r>
        <w:rPr>
          <w:rStyle w:val="VerbatimChar"/>
        </w:rPr>
        <w:t>ts that reforms will be\r\nslower to yield results for Armenia, a country for which around ten oligarchs own circa 50% of its wealth\r\n(USAID CDCS, 2017).\r\n26 For more the transformation from subjects to true citizens, see Fox (1994).\r\n27 For some ser</w:t>
      </w:r>
      <w:r>
        <w:rPr>
          <w:rStyle w:val="VerbatimChar"/>
        </w:rPr>
        <w:t xml:space="preserve">vice delivery projects, see, for example: http://www.worldbank.org/en/country/georgia/projects\r\nUSAID.GOV                                                           GOVERNANCE IN ARMENIA: AN EVIDENCE REVIEW | 23\r\n"                                       </w:t>
      </w:r>
      <w:r>
        <w:rPr>
          <w:rStyle w:val="VerbatimChar"/>
        </w:rPr>
        <w:t xml:space="preserve">                                                                                                                                                                                                                                                                </w:t>
      </w:r>
      <w:r>
        <w:rPr>
          <w:rStyle w:val="VerbatimChar"/>
        </w:rPr>
        <w:t xml:space="preserve">                                                                                                                                                                                                                                                                </w:t>
      </w:r>
      <w:r>
        <w:rPr>
          <w:rStyle w:val="VerbatimChar"/>
        </w:rPr>
        <w:t xml:space="preserve">                                                                                                                       </w:t>
      </w:r>
      <w:r>
        <w:br/>
      </w:r>
      <w:r>
        <w:rPr>
          <w:rStyle w:val="VerbatimChar"/>
        </w:rPr>
        <w:t>## [27] "Bribe-taking by bureaucrats has marked Ukraine’s since the country’s independence from the Soviet\r\nUnion in 1991 (Anderson, 2</w:t>
      </w:r>
      <w:r>
        <w:rPr>
          <w:rStyle w:val="VerbatimChar"/>
        </w:rPr>
        <w:t>018). Given Georgia’s success with rooting out corruption, and the fact that\r\nMikheil Saakashvili studied in Ukraine with President Petro Poroshenko, the latter invited Saakashvili to\r\nUkraine in 2014. Initially, Saakashvili served as an advisor to Pre</w:t>
      </w:r>
      <w:r>
        <w:rPr>
          <w:rStyle w:val="VerbatimChar"/>
        </w:rPr>
        <w:t xml:space="preserve">sident Poroshenko; then, in 2015,\r\nPoroshenko granted Saakashvili Ukrainian citizenship and appointed him as governor of Odessa. Despite\r\nSaakashvili’s considerable experience with rooting out corruption in Georgia, Saakashvili resigned his\r\npost in </w:t>
      </w:r>
      <w:r>
        <w:rPr>
          <w:rStyle w:val="VerbatimChar"/>
        </w:rPr>
        <w:t>Ukraine in 2016, citing corruption as a primary reason for his resignation (Walker, 2016).\r\nSaakashvili’s experience in Ukraine demonstrates for Armenia that Georgia’s experience is not\r\nnecessarily replicable elsewhere.\r\nTAKEAWAYS\r\nGiven that Arme</w:t>
      </w:r>
      <w:r>
        <w:rPr>
          <w:rStyle w:val="VerbatimChar"/>
        </w:rPr>
        <w:t xml:space="preserve">nia is already undertaking many e-governance measures, and the population is educated\r\nand has a penchant for </w:t>
      </w:r>
      <w:r>
        <w:rPr>
          <w:rStyle w:val="VerbatimChar"/>
        </w:rPr>
        <w:lastRenderedPageBreak/>
        <w:t xml:space="preserve">successful protest, Armenia should continue to involve the population through\r\nparticipatory programs. In particular, continuing with citizen </w:t>
      </w:r>
      <w:r>
        <w:rPr>
          <w:rStyle w:val="VerbatimChar"/>
        </w:rPr>
        <w:t>service centers, as well as perhaps initiating\r\nsome combination of participatory/open budgeting, right to information laws, grievance redress\r\nmechanism, hotlines, and social audits constitute some promising potential interventions. Although\r\npartic</w:t>
      </w:r>
      <w:r>
        <w:rPr>
          <w:rStyle w:val="VerbatimChar"/>
        </w:rPr>
        <w:t>ipatory programs do not always work, as evidenced above, Armenia’s demographic characteristics\r\nand its political transition provide conditions to facilitate the success of participatory measures. Even if\r\nthey are unsuccessful, research generally sugg</w:t>
      </w:r>
      <w:r>
        <w:rPr>
          <w:rStyle w:val="VerbatimChar"/>
        </w:rPr>
        <w:t>ests that participatory programs do increase satisfaction\r\nwith governance and democracy (Olken, 2010; Beath et al., 2017; Chase and Labonne 2011; Besley et al.,\r\n2005). If Armenia’s political transition does not bring about the expected levels of chan</w:t>
      </w:r>
      <w:r>
        <w:rPr>
          <w:rStyle w:val="VerbatimChar"/>
        </w:rPr>
        <w:t>ge, which is a real\r\nrisk, it could lead the population to sour on democracy and facilitate the success of populist candidates\r\nthat ultimately bring back authoritarianism (see, Levitsky and Ziblatt, 2018). In this light, it is important\r\nto keep the</w:t>
      </w:r>
      <w:r>
        <w:rPr>
          <w:rStyle w:val="VerbatimChar"/>
        </w:rPr>
        <w:t xml:space="preserve"> population engaged with the government.\r\n   2.4.      CIVIL SERVICE REFORM\r\nCONTEXT/STATUS\r\nNo modern state can succeed without some form of a civil service. 28 A competent civil service with\r\nmeritocratic recruitment and promotion contributes to </w:t>
      </w:r>
      <w:r>
        <w:rPr>
          <w:rStyle w:val="VerbatimChar"/>
        </w:rPr>
        <w:t>political stability (Bai and Jia, 2016), less\r\ncorruption (Charron et al., 2017), and is a principal factor that underpins a state’s ability to impersonally\r\napply the rule of law without succumbing to patrimonial and personalist leader-based pressures</w:t>
      </w:r>
      <w:r>
        <w:rPr>
          <w:rStyle w:val="VerbatimChar"/>
        </w:rPr>
        <w:t xml:space="preserve"> (Weber\r\n1978; Fukuyama 2011). Simply put, a competent civil service is integral for ensuring the implementation\r\nof policies across a territory (Mann, 1984).\r\nNowadays, most states civil services comprise positions such as functionaries, military of</w:t>
      </w:r>
      <w:r>
        <w:rPr>
          <w:rStyle w:val="VerbatimChar"/>
        </w:rPr>
        <w:t>ficers, teachers,\r\npolice, etc. Unitary states such as Armenia mainly contract such positions at the national level, whereas\r\ndecentralized states such as Colombia do so primarily at the subnational level. Regardless of states’\r\nparticular systems of</w:t>
      </w:r>
      <w:r>
        <w:rPr>
          <w:rStyle w:val="VerbatimChar"/>
        </w:rPr>
        <w:t xml:space="preserve"> government, most states have a law similar to that of the United States’ Pendleton\r\nAct of 1883, requiring merit-based hiring for mid- and high-level civil service positions—usually by means\r\nof an entrance exam. Research is unanimous in underscoring </w:t>
      </w:r>
      <w:r>
        <w:rPr>
          <w:rStyle w:val="VerbatimChar"/>
        </w:rPr>
        <w:t>the effectiveness of the Pendleton Act and\r\nthose like it in other countries to combat patronage (loyalty-based appointments) and corruption\r\n(Theriault, 2003; Grindle 2012).\r\n28 One of the reasons why many consider China to be the first modern state</w:t>
      </w:r>
      <w:r>
        <w:rPr>
          <w:rStyle w:val="VerbatimChar"/>
        </w:rPr>
        <w:t xml:space="preserve"> relates back its meritocratically-recruited and\r\nhighly competent civil service, for which it maintained a competitive recruitment exam for over 1,300 consecutive years\r\n(Fukuyama 2011; Bai and Jia, 2016).\r\nUSAID.GOV                                 </w:t>
      </w:r>
      <w:r>
        <w:rPr>
          <w:rStyle w:val="VerbatimChar"/>
        </w:rPr>
        <w:t xml:space="preserve">                           GOVERNANCE IN ARMENIA: AN EVIDENCE REVIEW           | 24\r\n"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[28] "Armenia undertook its first civil service legal framework reform efforts in 1994, with some re-\r\ndevelopment in 1997 and implementation in 1998 (Nemec, 2016). In 2001, Armenia adopted its Civil\r\nService Law </w:t>
      </w:r>
      <w:r>
        <w:rPr>
          <w:rStyle w:val="VerbatimChar"/>
        </w:rPr>
        <w:t>(CSL) (OECD, 2011). The CSL not only contains a provision on meritocratic hiring and\r\npromotion along the lines of the US’s Pendleton Act, but the CSL also mandated the creation of a Civil\r\nService Council (CSC). The CSC is a public-sector body that ov</w:t>
      </w:r>
      <w:r>
        <w:rPr>
          <w:rStyle w:val="VerbatimChar"/>
        </w:rPr>
        <w:t xml:space="preserve">ersees all hiring in the Armenian civil\r\nservice. The CSC has worked with and/or has receiving funding from other governments (e.g., France,\r\nEgypt, Cyprus, China) and numerous international donors </w:t>
      </w:r>
      <w:r>
        <w:rPr>
          <w:rStyle w:val="VerbatimChar"/>
        </w:rPr>
        <w:lastRenderedPageBreak/>
        <w:t>(e.g., European Union, OECD, USAID, World\r\nBank, OSC</w:t>
      </w:r>
      <w:r>
        <w:rPr>
          <w:rStyle w:val="VerbatimChar"/>
        </w:rPr>
        <w:t>E) (Davatyan, N.D.).\r\nDespite these efforts, survey evidence suggests that citizen-level trust in the government at all levels is\r\nlow (EBRD, 2016). Analysis of the Armenian civil service by the OECD (2011) highlights numerous\r\ndeficiencies, includin</w:t>
      </w:r>
      <w:r>
        <w:rPr>
          <w:rStyle w:val="VerbatimChar"/>
        </w:rPr>
        <w:t>g in professionalism, independence, and codes of ethics. More recently, the Armenia\r\ngovernment updated its Civil Service Law in 2014 to facilitate more training and modern performance\r\nevaluation, thereby making it easier for competent staff to obtain</w:t>
      </w:r>
      <w:r>
        <w:rPr>
          <w:rStyle w:val="VerbatimChar"/>
        </w:rPr>
        <w:t xml:space="preserve"> promotions (World Bank, 2015).\r\nIn terms of development assistance, Armenia’s civil service has benefitted from an Institutional\r\nDevelopment Fund grant, helping to create its government e-financial management system, as well three\r\nWorld Bank publi</w:t>
      </w:r>
      <w:r>
        <w:rPr>
          <w:rStyle w:val="VerbatimChar"/>
        </w:rPr>
        <w:t xml:space="preserve">c sector modernization projects. The third of these projects will close on December\r\n2020. It focuses on financial reporting and e-government. Notable inventions related to the civil service\r\ninclude: the development of an e-consular system, to reduce </w:t>
      </w:r>
      <w:r>
        <w:rPr>
          <w:rStyle w:val="VerbatimChar"/>
        </w:rPr>
        <w:t>wait times on document processing; a new,\r\nelectronic system for pre-court trial proceedings in the judiciary sector; and an electronic case file and\r\nred flags system for the Ethics Commission (World Bank, 2015; World Bank, 2018).\r\nFACTORS PROMOTING</w:t>
      </w:r>
      <w:r>
        <w:rPr>
          <w:rStyle w:val="VerbatimChar"/>
        </w:rPr>
        <w:t>/HINDERING\r\nLow Salaries. Although the causal evidence is far from conclusive, some analysts have shown that\r\nsalaries can play a role in attracting higher quality government employees (Dal Bó et al., 2013; Finan et\r\nal, 2017). On this score, the pay</w:t>
      </w:r>
      <w:r>
        <w:rPr>
          <w:rStyle w:val="VerbatimChar"/>
        </w:rPr>
        <w:t xml:space="preserve"> for Armenian civil servants is low relative to the private sector,\r\nespecially given the difficult entry requirements. Accordingly, the Armenian civil has experienced\r\ndifficulties hiring highly qualified and technical staff (World Bank, 2015).\r\nEdu</w:t>
      </w:r>
      <w:r>
        <w:rPr>
          <w:rStyle w:val="VerbatimChar"/>
        </w:rPr>
        <w:t xml:space="preserve">cation. Without an educated population, the quality of the labor pool for civil servants deteriorates\r\nsignificantly. Some studies further suggest that educated people have less tolerance for corruption and\r\nare in a better position to resist pressure </w:t>
      </w:r>
      <w:r>
        <w:rPr>
          <w:rStyle w:val="VerbatimChar"/>
        </w:rPr>
        <w:t>from bureaucrats and party cadres, and thus are less\r\nsusceptible to bribes and other corrupt activities (Cheung and Chan, 2008; Machin, Marie and Vujic,\r\n2011; Uslaner, 2017). Since the average adult Armenian has benefitted from 12.5 years of schoolin</w:t>
      </w:r>
      <w:r>
        <w:rPr>
          <w:rStyle w:val="VerbatimChar"/>
        </w:rPr>
        <w:t>g\r\n(UNESCO, 2018), and university-level educational completion rates are on the rise (World Bank, 2018),\r\nArmenia should be able to field a high-quality civil service.\r\nBureaucratic Reform and Patronage. Bureaucratic reform is a very challenging task</w:t>
      </w:r>
      <w:r>
        <w:rPr>
          <w:rStyle w:val="VerbatimChar"/>
        </w:rPr>
        <w:t xml:space="preserve"> in most countries,\r\nand that appears to be especially the case in Armenia. By many accounts, the elite has captured\r\nbureaucracy in Armenia; patronage politics, as opposed to impersonal application of law and policy,\r\nappears to be the norm (Paturya</w:t>
      </w:r>
      <w:r>
        <w:rPr>
          <w:rStyle w:val="VerbatimChar"/>
        </w:rPr>
        <w:t>n and Stefes, 2017; Lewis, 2017). Patronage politics is also highly\r\nexpensive, too, because a job involves a long commitment over many years (Xu, 2017; Gingerich, 2013;\r\nRobinson and Verdier, 2013). Recently, the Armenian government attempted some ref</w:t>
      </w:r>
      <w:r>
        <w:rPr>
          <w:rStyle w:val="VerbatimChar"/>
        </w:rPr>
        <w:t xml:space="preserve">orms in policing,\r\nbut only achieved moderate success (Shahnazarian and Light, 2018).\r\nUSAID.GOV                                                   GOVERNANCE IN ARMENIA: AN EVIDENCE REVIEW   |   25\r\n"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[29] "Election Administration. Although not a</w:t>
      </w:r>
      <w:r>
        <w:rPr>
          <w:rStyle w:val="VerbatimChar"/>
        </w:rPr>
        <w:t xml:space="preserve"> part of every country’s civil service, international electoral\r\nwatchdog bodies played a role in safeguarding democracy from election fraud (Hyde, 2011). Armenia has\r\nenjoyed success with election monitoring from outside entities (Hyde, </w:t>
      </w:r>
      <w:r>
        <w:rPr>
          <w:rStyle w:val="VerbatimChar"/>
        </w:rPr>
        <w:lastRenderedPageBreak/>
        <w:t>2007), but the</w:t>
      </w:r>
      <w:r>
        <w:rPr>
          <w:rStyle w:val="VerbatimChar"/>
        </w:rPr>
        <w:t xml:space="preserve"> country does not\r\nhave an independent electoral institute. Instituting one with the same model as Mexico’s National\r\nElectoral Institute (see Magaloni, 2010) might help ensure that electoral manipulation does not become a\r\nform of bureaucratic contr</w:t>
      </w:r>
      <w:r>
        <w:rPr>
          <w:rStyle w:val="VerbatimChar"/>
        </w:rPr>
        <w:t>ol (Gehlbach and Simpser, 2015).\r\nREFORM/INTERVENTION EXAMPLES\r\nPerformance Pay and Pro-Social Motivation. There are very few studies that credibly examine the\r\nimpact of performance pay with sound causal identification, but one well-done study by Kh</w:t>
      </w:r>
      <w:r>
        <w:rPr>
          <w:rStyle w:val="VerbatimChar"/>
        </w:rPr>
        <w:t>an et al.\r\n(2016) on property tax collectors in Pakistan provides some clues. Overall, the study finds that civil\r\nservants who received the performance pay treatment increased tax collection substantially. By the\r\nsame token, these same civil servan</w:t>
      </w:r>
      <w:r>
        <w:rPr>
          <w:rStyle w:val="VerbatimChar"/>
        </w:rPr>
        <w:t>ts also increased their bribe amounts. Khan et al. (2016) suggest the\r\nhigher bribe amounts are a function of the higher opportunity cost associated with foregoing\r\nperformance pay. Therefore, before offering any sort of performance pay or increased sa</w:t>
      </w:r>
      <w:r>
        <w:rPr>
          <w:rStyle w:val="VerbatimChar"/>
        </w:rPr>
        <w:t>lary, it is\r\nadvisable to test for civil servants’ pro-social motivation (Hanna and Wang, 2017; Besley and Ghatak,\r\n2018). With respect to the latter, numerous studies show that higher wages may not attract those with\r\nthe best values (Ashraf et al.,</w:t>
      </w:r>
      <w:r>
        <w:rPr>
          <w:rStyle w:val="VerbatimChar"/>
        </w:rPr>
        <w:t xml:space="preserve"> 2014; Banuri and Keefer, 2016), a quality that is especially important in a\r\ncountry like Armenia where corruption and patronage are the equilibrium (see Fisman and Golden,\r\n2017). In a literature review of performance pay, Hasnain, Manning, and Piers</w:t>
      </w:r>
      <w:r>
        <w:rPr>
          <w:rStyle w:val="VerbatimChar"/>
        </w:rPr>
        <w:t>kalla (2014) identified craft\r\njobs such as teachers, health care workers, and revenue administrators as the promising vocations for\r\nperformance pay. Given that health care workers and tax collectors are particularly prone to bribery,\r\nand education</w:t>
      </w:r>
      <w:r>
        <w:rPr>
          <w:rStyle w:val="VerbatimChar"/>
        </w:rPr>
        <w:t xml:space="preserve"> in Armenia is generally strong by international standards, we are hesitant to recommend\r\nperformance pay for Armenian civil servants. We also strongly suggest quietly instituting a test for pro-\r\nsocial motivation and testing for potential manipulatio</w:t>
      </w:r>
      <w:r>
        <w:rPr>
          <w:rStyle w:val="VerbatimChar"/>
        </w:rPr>
        <w:t>n and cheating.\r\nReporting Structures. The literature on the effectiveness of different reporting structures within civil\r\nservice is only incipient, but two studies are provocative. In their study of the Nigerian civil service,\r\nRasul and Rogger (20</w:t>
      </w:r>
      <w:r>
        <w:rPr>
          <w:rStyle w:val="VerbatimChar"/>
        </w:rPr>
        <w:t>18) find that mid-level bureaucrats are more effective at carrying out small-scale\r\nproject implementation when their supervisors grant them more autonomy, as opposed to when they\r\nare subject to more monitoring. Given that the study does not rely on a</w:t>
      </w:r>
      <w:r>
        <w:rPr>
          <w:rStyle w:val="VerbatimChar"/>
        </w:rPr>
        <w:t>n experimental design, though,\r\nthe authors are unable to credibly rule out other potential causes, such as ambition, pro-social\r\nmotivation, and task complexity. A more credibly designed study concerning bureaucrats in highly\r\ndecentralized India su</w:t>
      </w:r>
      <w:r>
        <w:rPr>
          <w:rStyle w:val="VerbatimChar"/>
        </w:rPr>
        <w:t>ggests that bureaucrats perform more effectively when they report to only one\r\npolitician (Gulzar and Pasquale, 2017). If Armenia considers decentralization, which we caution against\r\nbelow, then it will need to find an effective way to organize report</w:t>
      </w:r>
      <w:r>
        <w:rPr>
          <w:rStyle w:val="VerbatimChar"/>
        </w:rPr>
        <w:t>ing structures for its nearly 500\r\nmunicipalities.\r\nPerformance-Based Postings and Incentives. It is normally very difficult to disentangle whether\r\nsupervising bureaucrats award positions to their employees on the basis of merit, need, patronage, or</w:t>
      </w:r>
      <w:r>
        <w:rPr>
          <w:rStyle w:val="VerbatimChar"/>
        </w:rPr>
        <w:t xml:space="preserve"> a\r\ncombination of the three factors. To obviate these complicated measurement issues, a study of tax\r\ncollectors in Pakistan randomized whether employees participated in a scheme in which they could pick\r\ntheir postings based on their performance or</w:t>
      </w:r>
      <w:r>
        <w:rPr>
          <w:rStyle w:val="VerbatimChar"/>
        </w:rPr>
        <w:t xml:space="preserve"> maintained the bureaucratic </w:t>
      </w:r>
      <w:r>
        <w:rPr>
          <w:rStyle w:val="VerbatimChar"/>
        </w:rPr>
        <w:lastRenderedPageBreak/>
        <w:t>supervisor’s authority to\r\ndecide postings (Khan, Khwaja and Olken, 2019). The study found a substantially positive effect on tax\r\nrevenue collected for the performance-based posting vis-à-vis the regular scheme. Given that</w:t>
      </w:r>
      <w:r>
        <w:rPr>
          <w:rStyle w:val="VerbatimChar"/>
        </w:rPr>
        <w:t xml:space="preserve"> the study\r\ntook place in a very weak institutional environment that is similar or worse to that of Armenia, it is\r\nUSAID.GOV                                                  GOVERNANCE IN ARMENIA: AN EVIDENCE REVIEW      | 26\r\n"                     </w:t>
      </w:r>
      <w:r>
        <w:rPr>
          <w:rStyle w:val="VerbatimChar"/>
        </w:rPr>
        <w:t xml:space="preserve">                                                                                                                                                                                                                                                                </w:t>
      </w:r>
      <w:r>
        <w:rPr>
          <w:rStyle w:val="VerbatimChar"/>
        </w:rPr>
        <w:t xml:space="preserve">                                                                                                                                                                                                                                                                </w:t>
      </w:r>
      <w:r>
        <w:rPr>
          <w:rStyle w:val="VerbatimChar"/>
        </w:rPr>
        <w:t xml:space="preserve">                                                                                                                           </w:t>
      </w:r>
      <w:r>
        <w:br/>
      </w:r>
      <w:r>
        <w:rPr>
          <w:rStyle w:val="VerbatimChar"/>
        </w:rPr>
        <w:t>## [30] "worth considering whether Armenia could experiment with performance-based posting. Perhaps\r\nperformance-based posting cou</w:t>
      </w:r>
      <w:r>
        <w:rPr>
          <w:rStyle w:val="VerbatimChar"/>
        </w:rPr>
        <w:t>ld induce more qualified individuals to join the civil service, too.\r\nE-Governance. Particularly since Armenia adopted an E-Government Strategy in 2014, and e-\r\ngovernance generally limits bureaucrats’ ability to bribe citizens, e-governance is area fo</w:t>
      </w:r>
      <w:r>
        <w:rPr>
          <w:rStyle w:val="VerbatimChar"/>
        </w:rPr>
        <w:t>r an\r\nintervention. Below, we provide a summary of relevant e-governance measures, each time providing\r\nsome context to Armenia.\r\nE-Procurement. A well-done causal study on India and Indonesia, for example, suggests that introducing e-\r\nprocurement</w:t>
      </w:r>
      <w:r>
        <w:rPr>
          <w:rStyle w:val="VerbatimChar"/>
        </w:rPr>
        <w:t xml:space="preserve"> significantly reduced capture and leakage risks relative to the former non-digitized\r\nprocurement systems (Lewis-Faupel et al., 2016). Armenia has already adopted an e-procurement system, a\r\ntopic that we tackle in further detail in Integrity Systems </w:t>
      </w:r>
      <w:r>
        <w:rPr>
          <w:rStyle w:val="VerbatimChar"/>
        </w:rPr>
        <w:t>and Rule of Law Evidence Review (USAID, 2019b).\r\nBiometric Smart Cards. Another method of reducing potential leakage of government funds entails\r\nsupplying citizens with smart, biometric ID cards that document fund transfers. For the massive NREGA\r\nw</w:t>
      </w:r>
      <w:r>
        <w:rPr>
          <w:rStyle w:val="VerbatimChar"/>
        </w:rPr>
        <w:t>orkfare program in India and a food subsidy program in Indonesia, sound causal evidence indicates that\r\nthese smartcards significantly reduced corruption by government officials (Muralidharan, Niehaus and\r\nSukhtankar, 2016; Banerjee et al., 2018.). The</w:t>
      </w:r>
      <w:r>
        <w:rPr>
          <w:rStyle w:val="VerbatimChar"/>
        </w:rPr>
        <w:t xml:space="preserve"> World Bank (2015) reports that some of Armenia’s\r\nrecent e-governance efforts concerns the use of smart cards, but they are a technology that\r\npolicymakers may wish to consider expanding to other areas as well.\r\nE-monitoring. Citizens may use techno</w:t>
      </w:r>
      <w:r>
        <w:rPr>
          <w:rStyle w:val="VerbatimChar"/>
        </w:rPr>
        <w:t>logy to monitor government bureaucrats, which is exactly how\r\nparts of India combated teacher absenteeism. Specifically, the government linked teachers’ salaries to\r\ntheir appearance (or non-appearance) on cameras set-up at schools helped with the moni</w:t>
      </w:r>
      <w:r>
        <w:rPr>
          <w:rStyle w:val="VerbatimChar"/>
        </w:rPr>
        <w:t>toring (Duflo,\r\nHanna and Ryan, 2012). However, e-monitoring can be disruptive. When Dhaliwal and Hanna (2017)\r\nintroduced e-monitoring of health workers in India, it produced staff dissatisfaction and highly-trained\r\ndoctors quit. If Armenia conside</w:t>
      </w:r>
      <w:r>
        <w:rPr>
          <w:rStyle w:val="VerbatimChar"/>
        </w:rPr>
        <w:t>rs such an innovation for its civil service, it should weigh the costs and\r\nbenefits of introducing such a program, particularly given the staffing issues highlighted above.\r\nLimiting Petty Corruption. Although elite-level corruption is usually difficu</w:t>
      </w:r>
      <w:r>
        <w:rPr>
          <w:rStyle w:val="VerbatimChar"/>
        </w:rPr>
        <w:t>lt to tackle (Bauhr and\r\nCharron, 2018), and may not be wise to address in the earliest stages of transition, governments may\r\nnonetheless focus on petty corruption: bribes to police, teachers (grades and national exams),\r\nbureaucrats who grant permi</w:t>
      </w:r>
      <w:r>
        <w:rPr>
          <w:rStyle w:val="VerbatimChar"/>
        </w:rPr>
        <w:t>ts, doctors who insist on special payments, etc. These activities are easy to\r\ngather evidence on, such as when plain-clothes police or staff of the anti-corruption agency assume the\r\nposition of a person who is likely to be asked for a bribe. Petty co</w:t>
      </w:r>
      <w:r>
        <w:rPr>
          <w:rStyle w:val="VerbatimChar"/>
        </w:rPr>
        <w:t xml:space="preserve">rruption is also easy to prosecute\r\nsince the offenders hold no political power and there is little at stake for judges and prosecutors. If the\r\ngovernment is successful in stemming petty corruption it can win </w:t>
      </w:r>
      <w:r>
        <w:rPr>
          <w:rStyle w:val="VerbatimChar"/>
        </w:rPr>
        <w:lastRenderedPageBreak/>
        <w:t>legitimacy and begin to change the\r\ncult</w:t>
      </w:r>
      <w:r>
        <w:rPr>
          <w:rStyle w:val="VerbatimChar"/>
        </w:rPr>
        <w:t>ure of corruption.\r\nAsset Declaration. Asset declaration has proven informative for India, demonstrating private returns to\r\npublic office. As Fisman et al. (2014) show, elections winners in India gained 3-5% more assets per year\r\nthan the runners-up</w:t>
      </w:r>
      <w:r>
        <w:rPr>
          <w:rStyle w:val="VerbatimChar"/>
        </w:rPr>
        <w:t>—even though government salaries are fixed. In line with India, Armenia requires\r\nhigh-ranking officials to declare their assets and, as of 2016, has accompanying legislation to penalize\r\nthose who do not truthfully declare their assets.\r\nTransparenc</w:t>
      </w:r>
      <w:r>
        <w:rPr>
          <w:rStyle w:val="VerbatimChar"/>
        </w:rPr>
        <w:t>y of Tax Records. To create even more public trust in government, Armenia could go\r\nbeyond asset declaration. For example, the government could require applicants and current holders of\r\nUSAID.GOV                                                     GOV</w:t>
      </w:r>
      <w:r>
        <w:rPr>
          <w:rStyle w:val="VerbatimChar"/>
        </w:rPr>
        <w:t xml:space="preserve">ERNANCE IN ARMENIA: AN EVIDENCE REVIEW   | 27\r\n"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[31] "all public-sector jobs (or at least all elective offices) to make their tax returns public, perhaps with\r\ncooperation from the Tax Service of the Republic of Armenia. The transparency of tax records would\</w:t>
      </w:r>
      <w:r>
        <w:rPr>
          <w:rStyle w:val="VerbatimChar"/>
        </w:rPr>
        <w:t>r\nhave several beneficial effects. First, it would allow citizens to see how much money their public servants\r\nhave (on record), similar to asset declarations. Second, it would allow citizens and watchdog agencies to\r\nstep forward with additional info</w:t>
      </w:r>
      <w:r>
        <w:rPr>
          <w:rStyle w:val="VerbatimChar"/>
        </w:rPr>
        <w:t>rmation that may have been neglected in those returns (e.g., a house or\r\nbusiness that was not declared). Third, it would serve as an impetus to the Tax Service of the Republic\r\nof Armenia to take a close look at public servants, and counter any corrup</w:t>
      </w:r>
      <w:r>
        <w:rPr>
          <w:rStyle w:val="VerbatimChar"/>
        </w:rPr>
        <w:t>tion within the agency to\r\nshelter “friends of the current regime” or people who may have paid off IRS agents. Prosecutions might\r\nfollow. Fourth, it would allow citizens, watchdog agencies, and the media to compare declared income\r\nagainst lifestyle</w:t>
      </w:r>
      <w:r>
        <w:rPr>
          <w:rStyle w:val="VerbatimChar"/>
        </w:rPr>
        <w:t>. If someone declares a modest income but seems to enjoy a lavish lifestyle this could be\r\nnoted publicly, and perhaps become fodder in subsequent elections. Finally, it would discourage people with\r\nless pro-social motivation from pursuing a career in</w:t>
      </w:r>
      <w:r>
        <w:rPr>
          <w:rStyle w:val="VerbatimChar"/>
        </w:rPr>
        <w:t xml:space="preserve"> public sector service, and might prompt some of those\r\nwho currently hold office to resign—a method of lustration.\r\nLEARNING FROM REGIONAL/SIMILAR COUNTRY EXPERIENCE\r\nGeorgia undertook its “big bang” approach to civil service reform with very high-p</w:t>
      </w:r>
      <w:r>
        <w:rPr>
          <w:rStyle w:val="VerbatimChar"/>
        </w:rPr>
        <w:t>rofile reforms:\r\ntelevising arrests of oligarchs and high-ranking officials, building a large-scale anti-corruption unit within\r\nthe executive branch, completely dismissing its police force, etc. (Devlin, 2009; Di Puppo, 2010; Light,\r\n2014). Given th</w:t>
      </w:r>
      <w:r>
        <w:rPr>
          <w:rStyle w:val="VerbatimChar"/>
        </w:rPr>
        <w:t>at Armenia is more tied to Russia than Georgia (see Section 1), 10 Armenian oligarchs\r\ncontrol about half of the country’s wealth (USAID CDCS, 2017), and Armenia already has trouble with\r\nstaffing its bureaucracy and enacting reforms (World Bank, 2015;</w:t>
      </w:r>
      <w:r>
        <w:rPr>
          <w:rStyle w:val="VerbatimChar"/>
        </w:rPr>
        <w:t xml:space="preserve"> Shanazarian and Light, 2018), it would\r\nbe unlikely that Armenia could replicate Georgia’s approach to civil service reform. Furthermore, as the\r\ninstitutionalist literature shows, powering through “big-bang” reforms at “critical junctures” tends\r\np</w:t>
      </w:r>
      <w:r>
        <w:rPr>
          <w:rStyle w:val="VerbatimChar"/>
        </w:rPr>
        <w:t>roduce instability in weak institutional environments—something Armenia should avoid (Bersch, 2016,\r\n2019).\r\nIn 1997 the President of Kazakhstan set a long-term vision with “Kazakhstan 2030”, including reform of\r\ncivic service efforts in 1999. Kazakh</w:t>
      </w:r>
      <w:r>
        <w:rPr>
          <w:rStyle w:val="VerbatimChar"/>
        </w:rPr>
        <w:t>stan limited the executive influence on civil servants by dividing\r\nhiring between political and career appointments in attempt to shield from political changes. It appears\r\nas though the Civil Service Council (CSC) of Armenia has already undertaken su</w:t>
      </w:r>
      <w:r>
        <w:rPr>
          <w:rStyle w:val="VerbatimChar"/>
        </w:rPr>
        <w:t xml:space="preserve">ch steps, notably </w:t>
      </w:r>
      <w:r>
        <w:rPr>
          <w:rStyle w:val="VerbatimChar"/>
        </w:rPr>
        <w:lastRenderedPageBreak/>
        <w:t>with\r\nsupport from donors and foreign governments (Nemec, 2014).\r\nMoldova’s civil service has recently undergone major revamping to meet European Union standards on\r\ngood government, with external support from the World Bank and the</w:t>
      </w:r>
      <w:r>
        <w:rPr>
          <w:rStyle w:val="VerbatimChar"/>
        </w:rPr>
        <w:t xml:space="preserve"> UK’s Department for\r\nInternational Development (DFID). According to the World Bank’s Independent Evaluation Group\r\n(2015), reforms in merit-based hiring, personnel policy, compensation, budget planning, strategic\r\nplanning were successful, though fr</w:t>
      </w:r>
      <w:r>
        <w:rPr>
          <w:rStyle w:val="VerbatimChar"/>
        </w:rPr>
        <w:t xml:space="preserve">aught with delays. Given the aforementioned issues with service\r\ndelivery in Moldova (see previous section), it indicates that civil service reforms do not immediately\r\ntranslate to better service delivery. Accordingly, Armenia should expect delays in </w:t>
      </w:r>
      <w:r>
        <w:rPr>
          <w:rStyle w:val="VerbatimChar"/>
        </w:rPr>
        <w:t>output-based\r\nmeasures in governance improvement,29 even if it continues to improve its civil service.\r\nUkraine instituted some decrees and regulations related to its civil service in the period immediately\r\nfollowing the fall of the Soviet Union, st</w:t>
      </w:r>
      <w:r>
        <w:rPr>
          <w:rStyle w:val="VerbatimChar"/>
        </w:rPr>
        <w:t xml:space="preserve">retching roughly from 1991-1997 (Nemec, 2014). However, the\r\ngovernment did not implement these decrees and regulations very thoroughly due to the chaotic nature\r\nof the democratic transition (EBRD Annual Report 2004, 2005). More recently, Ukraine has </w:t>
      </w:r>
      <w:r>
        <w:rPr>
          <w:rStyle w:val="VerbatimChar"/>
        </w:rPr>
        <w:t xml:space="preserve">attempted to\r\n29 For more on output-based measures governance effectiveness, refer to Evans, Huber, and Stephens (2017).\r\nUSAID.GOV                                                        GOVERNANCE IN ARMENIA: AN EVIDENCE REVIEW |   28\r\n"            </w:t>
      </w:r>
      <w:r>
        <w:rPr>
          <w:rStyle w:val="VerbatimChar"/>
        </w:rPr>
        <w:t xml:space="preserve">                                                                                                                                                                                                                                                                </w:t>
      </w:r>
      <w:r>
        <w:rPr>
          <w:rStyle w:val="VerbatimChar"/>
        </w:rPr>
        <w:t xml:space="preserve">                                                                                                                                                                                                                                                                </w:t>
      </w:r>
      <w:r>
        <w:rPr>
          <w:rStyle w:val="VerbatimChar"/>
        </w:rPr>
        <w:t xml:space="preserve">                                                                                                                                                                                                                   </w:t>
      </w:r>
      <w:r>
        <w:br/>
      </w:r>
      <w:r>
        <w:rPr>
          <w:rStyle w:val="VerbatimChar"/>
        </w:rPr>
        <w:t>## [32] "overcome some its challenges throug</w:t>
      </w:r>
      <w:r>
        <w:rPr>
          <w:rStyle w:val="VerbatimChar"/>
        </w:rPr>
        <w:t>h an open/transparent budgeting law in 2015 as well as some\r\nregional and city-wide initiatives, with some more successful than others (Walker, 2016; Anderson,\r\n2018). As to whether such a strategy is feasible for Armenia, it is unclear given its unita</w:t>
      </w:r>
      <w:r>
        <w:rPr>
          <w:rStyle w:val="VerbatimChar"/>
        </w:rPr>
        <w:t>ry government\r\nand apparent interest in decentralization, but it may be worth a try.\r\nTAKEAWAYS\r\nOne of the most frequent themes emerging from the literature on Armenia’s governance is that corruption is\r\na pervasive and endemic problem in the civi</w:t>
      </w:r>
      <w:r>
        <w:rPr>
          <w:rStyle w:val="VerbatimChar"/>
        </w:rPr>
        <w:t>l service. The identification of the problem is one matter;\r\nidentifying concrete steps for overcoming problems of corruption is quite another. As such, a critical factor in\r\napplying global or regional lessons is to identify concrete steps, and perhap</w:t>
      </w:r>
      <w:r>
        <w:rPr>
          <w:rStyle w:val="VerbatimChar"/>
        </w:rPr>
        <w:t>s more critically proceed at the\r\nright pace and with the right expectations.\r\nOverall, it may be difficult to enact civil service reforms in Armenia to end corruption. In situations\r\nwhere corruption is the equilibrium behavior among large groups, t</w:t>
      </w:r>
      <w:r>
        <w:rPr>
          <w:rStyle w:val="VerbatimChar"/>
        </w:rPr>
        <w:t>here is generally a lack of “principled\r\nprincipals”: that is, supervising agents that can change behavior of others and stop the corruption\r\nentirely (Persson, Rothstein, and Teorell, 2013). Accordingly, it is best to conceive of the corruption and\r\</w:t>
      </w:r>
      <w:r>
        <w:rPr>
          <w:rStyle w:val="VerbatimChar"/>
        </w:rPr>
        <w:t>npatronage in Armenia’s civil service as more of a collective action problem than a pure monitoring\r\nproblem (Rothstein, 2011). In other words, additional monitoring and transparency are likely not\r\nenough, and may even be harmful (Bauhr and Grimes, 20</w:t>
      </w:r>
      <w:r>
        <w:rPr>
          <w:rStyle w:val="VerbatimChar"/>
        </w:rPr>
        <w:t xml:space="preserve">14). In such a setting, there is a need to\r\ndistinguish between “need corruption” (i.e., the need gain access to public services, which facilitates\r\ncollective action) and “greed corruption” (i.e., some individuals gaining illicit money at the expense </w:t>
      </w:r>
      <w:r>
        <w:rPr>
          <w:rStyle w:val="VerbatimChar"/>
        </w:rPr>
        <w:t>of\r\nthe rest, which facilitates free-riding) (Bauhr, 2017). Armenia seems to have elements of both “need”\r\nand “greed” corruption. Not everyone has access to the unbiased access to the rule of law and public\r\nservices, but there are also some bureauc</w:t>
      </w:r>
      <w:r>
        <w:rPr>
          <w:rStyle w:val="VerbatimChar"/>
        </w:rPr>
        <w:t xml:space="preserve">rats who are clearly enriching themselves for private gain.\r\nGiven Armenia’s political transition, there may be an </w:t>
      </w:r>
      <w:r>
        <w:rPr>
          <w:rStyle w:val="VerbatimChar"/>
        </w:rPr>
        <w:lastRenderedPageBreak/>
        <w:t xml:space="preserve">opening for a measure that would not work under\r\nordinary times.\r\nAbove, we indicated that Armenia as well as international assistance </w:t>
      </w:r>
      <w:r>
        <w:rPr>
          <w:rStyle w:val="VerbatimChar"/>
        </w:rPr>
        <w:t>providers are likely in a better position to\r\naddress petty corruption — bribes to police, teachers (grades and national exams), bureaucrats who grant\r\npermits, doctors, etc. Petty corruption is easier to address than grand corruption (Bauhr and Charro</w:t>
      </w:r>
      <w:r>
        <w:rPr>
          <w:rStyle w:val="VerbatimChar"/>
        </w:rPr>
        <w:t>n,\r\n2018), and addressing petty corruption was a measure that Georgia undertook successfully under\r\nSaakashvili (Di Puppo, 2010). In an effort to manage expectations appropriately, addressing petty\r\ncorruption provides some opportunity for a quick wi</w:t>
      </w:r>
      <w:r>
        <w:rPr>
          <w:rStyle w:val="VerbatimChar"/>
        </w:rPr>
        <w:t xml:space="preserve">n. If the ambition is to eradicate grand corruption, then\r\nall parties are likely to be sorely disappointed. Curbing grand corruption generally happens only over a\r\nlonger period of time (Rothstein, 2011).\r\nOverall, it seems that Armenia should take </w:t>
      </w:r>
      <w:r>
        <w:rPr>
          <w:rStyle w:val="VerbatimChar"/>
        </w:rPr>
        <w:t>a more gradual—or at least lower profile—course than\r\nGeorgia, while simultaneously seizing the momentum of its recent political transition. The reforms we\r\nsuggested above regarding random inspections for petty corruption, more e-government (e.g., bio</w:t>
      </w:r>
      <w:r>
        <w:rPr>
          <w:rStyle w:val="VerbatimChar"/>
        </w:rPr>
        <w:t>metric\r\nsmart cards), testing for pro-social motivations (but quietly), performance-based postings, and\r\ntransparency in hiring and civil servants’ tax records constitute some measures to consider.\r\n  2.5.      MISCELLANEOUS FACTORS THAT CONTRIBUTE T</w:t>
      </w:r>
      <w:r>
        <w:rPr>
          <w:rStyle w:val="VerbatimChar"/>
        </w:rPr>
        <w:t xml:space="preserve">O GOVERNANCE\r\nSome factors that affect the quality of governance are difficult to change in that they are unlikely to be\r\nresponsive to policy initiatives emanating from USAID or the government of Armenia at least in the short-\r\nUSAID.GOV            </w:t>
      </w:r>
      <w:r>
        <w:rPr>
          <w:rStyle w:val="VerbatimChar"/>
        </w:rPr>
        <w:t xml:space="preserve">                                      GOVERNANCE IN ARMENIA: AN EVIDENCE REVIEW        |   29\r\n"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[33] "to medium-term. 30 Even so, they structure the political and policy sphere in important ways and thus\r\nform an essent</w:t>
      </w:r>
      <w:r>
        <w:rPr>
          <w:rStyle w:val="VerbatimChar"/>
        </w:rPr>
        <w:t xml:space="preserve">ial backdrop to our report. The following factors may assist reform initiatives in Armenia,\r\nor at least not hinder them:\r\nSOCIAL COHESION\r\nSocial cohesion refers to the togetherness —or “sticking-togetherness” (Gross and Martin, 1952, 553)—\r\nof a </w:t>
      </w:r>
      <w:r>
        <w:rPr>
          <w:rStyle w:val="VerbatimChar"/>
        </w:rPr>
        <w:t>community, i.e., the sense in which members identify and behave as members of a coherent, unitary\r\ngroup. Social cohesion has been argued to create higher levels of consensus on political matters, and are\r\nalso likely to foster a high level of social t</w:t>
      </w:r>
      <w:r>
        <w:rPr>
          <w:rStyle w:val="VerbatimChar"/>
        </w:rPr>
        <w:t>rust and —given the opportunity —of political engagement, as\r\nsuggested by work on social capital (Alesina et al., 2003; Alesina, Baqir and Easterly, 1999; Lieberman,\r\n2009) and demography (Gerring and Veenendaal, 2019).\r\nSocial cohesion is a hard th</w:t>
      </w:r>
      <w:r>
        <w:rPr>
          <w:rStyle w:val="VerbatimChar"/>
        </w:rPr>
        <w:t xml:space="preserve">ing to measure, but all reports suggest that Armenian society is one of the\r\nmost cohesive societies in the world. This may be interpreted as a product of Armenia’s long, unbroken\r\nhistorical trajectory, the impact of the genocide in reinforcing group </w:t>
      </w:r>
      <w:r>
        <w:rPr>
          <w:rStyle w:val="VerbatimChar"/>
        </w:rPr>
        <w:t>identity, the ongoing war with\r\nAzerbaijan, a high level of linguistic and religious homogeneity along with a language and religion that\r\nuniquely identify Armenians from all other peoples, a very small population, one third of whom reside in\r\nthe ca</w:t>
      </w:r>
      <w:r>
        <w:rPr>
          <w:rStyle w:val="VerbatimChar"/>
        </w:rPr>
        <w:t>pital city, and a compact geographic territory. These factors bring Armenians together, and are likely\r\nto foster consensus on matters of politics.\r\nDIASPORA\r\nDiaspora populations can play an important role in development and reconstruction (Mitra et</w:t>
      </w:r>
      <w:r>
        <w:rPr>
          <w:rStyle w:val="VerbatimChar"/>
        </w:rPr>
        <w:t xml:space="preserve"> al., 2007).\r\nAlthough most of those who identify as Armenian no longer reside in the country, they retain close ties,\r\nsend regular remittances home to family members, and could be engaged in partnerships—political, civic,\r\nor business. Since ex-pat</w:t>
      </w:r>
      <w:r>
        <w:rPr>
          <w:rStyle w:val="VerbatimChar"/>
        </w:rPr>
        <w:t xml:space="preserve">riots are often highly skilled </w:t>
      </w:r>
      <w:r>
        <w:rPr>
          <w:rStyle w:val="VerbatimChar"/>
        </w:rPr>
        <w:lastRenderedPageBreak/>
        <w:t xml:space="preserve">and some are quite wealthy, Armenia’s diaspora is\r\nan important asset and should be fostered wherever possible. With that said, Armenian diasporas exist\r\nin multiple countries with very different interests, including the </w:t>
      </w:r>
      <w:r>
        <w:rPr>
          <w:rStyle w:val="VerbatimChar"/>
        </w:rPr>
        <w:t xml:space="preserve">United States and Russia.\r\nEDUCATION\r\nAccording to the World Development Indicators, over 99% of Armenia’s population is literate, and\r\nschooling completion rates are high (World Bank, 2017a; UNESCO, 2018). According to UNESCO\r\n(2018), in 2015 the </w:t>
      </w:r>
      <w:r>
        <w:rPr>
          <w:rStyle w:val="VerbatimChar"/>
        </w:rPr>
        <w:t xml:space="preserve">average Armenian benefited from 12.5 years of schooling. Thus, Armenian education\r\nshould be conducive to the emergence of good governance.\r\nGEOGRAPHY AND FOREIGN PRESSURES\r\nWe note that foreign pressures have some potential to impact the success of </w:t>
      </w:r>
      <w:r>
        <w:rPr>
          <w:rStyle w:val="VerbatimChar"/>
        </w:rPr>
        <w:t>governance reform initiatives.\r\nArmenia is perhaps particularly susceptible. It has notable frictions with Azerbaijan, with which hostilities\r\ncontinue. There is no literature to suggest that these hostilities in themselves would hinder domestic\r\ngov</w:t>
      </w:r>
      <w:r>
        <w:rPr>
          <w:rStyle w:val="VerbatimChar"/>
        </w:rPr>
        <w:t>ernance reform within Armenia, but they would become relevant if domestic reforms affected the\r\nforeign policy status quo (Ambrosio, 2009; Giragosian, 2017; Jackson, 2010). For example, relations with\r\nAzerbaijan would become relevant if administrative</w:t>
      </w:r>
      <w:r>
        <w:rPr>
          <w:rStyle w:val="VerbatimChar"/>
        </w:rPr>
        <w:t xml:space="preserve"> reforms touched on the status of Nagorno-Karabakh.\r\nThey could also become relevant if administrative reforms touched on the postal service or\r\ntelecommunications infrastructure, given that both of these are severely limited between Armenia and\r\n30 </w:t>
      </w:r>
      <w:r>
        <w:rPr>
          <w:rStyle w:val="VerbatimChar"/>
        </w:rPr>
        <w:t>Citations in the text are included for those who wish to read further on these subjects. Wherever possible, we\r\nhave sought to identify recent surveys of the literature on a subject that are accessible to those without advanced\r\ntraining. But readers s</w:t>
      </w:r>
      <w:r>
        <w:rPr>
          <w:rStyle w:val="VerbatimChar"/>
        </w:rPr>
        <w:t xml:space="preserve">hould be aware that some of the papers cited here are rather technical and full of jargon.\r\nUSAID.GOV                                                       GOVERNANCE IN ARMENIA: AN EVIDENCE REVIEW         | 30\r\n"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[34] "Azerbaijan. Similarly, the closed border between Armenia and Turkey could become relevant if, for\r\nexample, decentralization reforms affect the status quo administration of the border (Tocci 2007).\r\n</w:t>
      </w:r>
      <w:r>
        <w:rPr>
          <w:rStyle w:val="VerbatimChar"/>
        </w:rPr>
        <w:t>Russia has also shown itself willing to intervene in the post-Soviet region when it sees its interests as\r\nthreatened (Zimmerman, 2014). We see no reason to expect domestic governance reform in Armenia to\r\ntrigger military intervention (Way, 2015). How</w:t>
      </w:r>
      <w:r>
        <w:rPr>
          <w:rStyle w:val="VerbatimChar"/>
        </w:rPr>
        <w:t xml:space="preserve">ever, Russia has intervened in the domestic politics of its\r\nneighbors in response to various triggers, including debate over the Russian language (Goetz, 2017;\r\nSaari, 2014). Armenian is the sole state language in the country, but Russian remains the </w:t>
      </w:r>
      <w:r>
        <w:rPr>
          <w:rStyle w:val="VerbatimChar"/>
        </w:rPr>
        <w:t>most common\r\nforeign language. Consistent with this mindset, it is possible that Russia would intervene diplomatically if,\r\nfor example, reforms had the effect of increasing English usage (Cheskin et al., 2018; Giragosian, 2015;\r\nToomet, 2011). The e</w:t>
      </w:r>
      <w:r>
        <w:rPr>
          <w:rStyle w:val="VerbatimChar"/>
        </w:rPr>
        <w:t>ffect of Russia's foreign policy in recent years has been to claim authority over\r\n\"compatriots abroad,\" which includes non-ethnic Russian speaking individuals (Laruelle, 2015). This\r\npossibility could have an effect on agenda-setting, in that Armeni</w:t>
      </w:r>
      <w:r>
        <w:rPr>
          <w:rStyle w:val="VerbatimChar"/>
        </w:rPr>
        <w:t>an policymakers may de-prioritize\r\nreforms with implications for the official or unofficial status of foreign languages.\r\nTHE PRESS\r\nThe press plays a key role in democracy and in anti-corruption efforts (Stanig, 2015). While we think that\r\nattenti</w:t>
      </w:r>
      <w:r>
        <w:rPr>
          <w:rStyle w:val="VerbatimChar"/>
        </w:rPr>
        <w:t>on to the media is critical, we refer readers to the Civil Society and Media Evidence Review being\r\nconducted separately under this tasking (USAID, 2019a).\r\n  2.6.       CONCLUSION\r\nWe provided a survey of the evidence on governance, with specific ap</w:t>
      </w:r>
      <w:r>
        <w:rPr>
          <w:rStyle w:val="VerbatimChar"/>
        </w:rPr>
        <w:t xml:space="preserve">plication to Armenia in the wake </w:t>
      </w:r>
      <w:r>
        <w:rPr>
          <w:rStyle w:val="VerbatimChar"/>
        </w:rPr>
        <w:lastRenderedPageBreak/>
        <w:t xml:space="preserve">of\r\nits recent transition. We considered a broad array of factors that promote or hinder good governance,\r\ndistilling the lessons learned to a few key factors. We discussed a number of factors, summarized below,\r\nand </w:t>
      </w:r>
      <w:r>
        <w:rPr>
          <w:rStyle w:val="VerbatimChar"/>
        </w:rPr>
        <w:t>also point to the other two evidence reviews that will be forthcoming — Civil Society and Media as\r\nwell as Integrity Systems and the Rule of Law — for discussion of what may also be key issues in\r\nstrengthening governance.\r\nWe note that on a structu</w:t>
      </w:r>
      <w:r>
        <w:rPr>
          <w:rStyle w:val="VerbatimChar"/>
        </w:rPr>
        <w:t>ral level, Armenia is in a relatively good position, having recently adopted\r\ninstitutions (parliamentary and proportional representation with thresholds) that the literature indicates are\r\nimportant factors governance and democratization. These instit</w:t>
      </w:r>
      <w:r>
        <w:rPr>
          <w:rStyle w:val="VerbatimChar"/>
        </w:rPr>
        <w:t>utional factors are difficult to affect,\r\nespecially for international assistance providers, but it is nonetheless important to recognize the importance\r\nof maintaining such institutions, and providing whatever support may be possible or necessary, wha</w:t>
      </w:r>
      <w:r>
        <w:rPr>
          <w:rStyle w:val="VerbatimChar"/>
        </w:rPr>
        <w:t>tever\r\nfollows in the coming years.\r\nTurning to factors that may be more easily manipulated in the short- to medium-term, both by the\r\ngovernment or international assistance providers, we identify lessons learned:\r\n• Consolidation of State Institut</w:t>
      </w:r>
      <w:r>
        <w:rPr>
          <w:rStyle w:val="VerbatimChar"/>
        </w:rPr>
        <w:t xml:space="preserve">ions\r\n    - Exercise caution in moving forward with decentralization. There is cause for concern about the\r\n        efficacy of decentralization\r\n    - Address petty corruption, and carefully phase-in efforts to address higher-level corruption\r\n   </w:t>
      </w:r>
      <w:r>
        <w:rPr>
          <w:rStyle w:val="VerbatimChar"/>
        </w:rPr>
        <w:t xml:space="preserve"> - Institute measures such as e-governance in an effort to streamline many institutional functions\r\nUSAID.GOV                                                     GOVERNANCE IN ARMENIA: AN EVIDENCE REVIEW   |  31\r\n"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[35] "   - Good institutional reform </w:t>
      </w:r>
      <w:r>
        <w:rPr>
          <w:rStyle w:val="VerbatimChar"/>
        </w:rPr>
        <w:t xml:space="preserve">does not entail exporting the right strategy from one context and using\r\n      it in another one. Instead, good institutional reform first builds off robust political economy\r\n      analysis to inform feasible action. Robust political economy analysis </w:t>
      </w:r>
      <w:r>
        <w:rPr>
          <w:rStyle w:val="VerbatimChar"/>
        </w:rPr>
        <w:t>should not only make use of\r\n      traditional indicators but also the dimensions of the political settlements framework, paying\r\n      particular attention to the implementation concerns stressed by the Problem-Driven Iterative\r\n      Adaptation (PD</w:t>
      </w:r>
      <w:r>
        <w:rPr>
          <w:rStyle w:val="VerbatimChar"/>
        </w:rPr>
        <w:t>IA) approach. Thus, institutional reform is not about grand plans or overarching\r\n      solutions but about gradually undertaking reforms that are suitable to particular contexts.\r\n• Service Delivery\r\n   - Participatory programs are likely to be bene</w:t>
      </w:r>
      <w:r>
        <w:rPr>
          <w:rStyle w:val="VerbatimChar"/>
        </w:rPr>
        <w:t>ficial both for governance and citizen-level satisfaction\r\n      with democracy. Promising potential interventions include opening more citizen service centers\r\n      and improving the efficacy of existing ones, as well as perhaps initiating some combi</w:t>
      </w:r>
      <w:r>
        <w:rPr>
          <w:rStyle w:val="VerbatimChar"/>
        </w:rPr>
        <w:t>nation of the\r\n      following: participatory/open budgeting, right to information laws, grievance redress mechanisms,\r\n      hotlines, social audits, and social programs. All potential interventions should have some form of\r\n      an e-governance co</w:t>
      </w:r>
      <w:r>
        <w:rPr>
          <w:rStyle w:val="VerbatimChar"/>
        </w:rPr>
        <w:t>mponent.\r\n• Civil Service Reform\r\n   - Armenia should be cautious about following Georgia’s “big bang” approach to civil service reform\r\n      especially given former Georgian President Mikhail Saakashvili’s failure to adequately tackle\r\n      corr</w:t>
      </w:r>
      <w:r>
        <w:rPr>
          <w:rStyle w:val="VerbatimChar"/>
        </w:rPr>
        <w:t xml:space="preserve">uption when he subsequently served as Governor of Odessa and advisor to President\r\n      Poroshenko in Ukraine.\r\n   - It could also pursue some relatively new interventions, including random inspections for petty\r\n      corruption, more e-government </w:t>
      </w:r>
      <w:r>
        <w:rPr>
          <w:rStyle w:val="VerbatimChar"/>
        </w:rPr>
        <w:t xml:space="preserve">(e.g., biometric smart cards), testing for pro-social motivations\r\n      when hiring (but quietly), performance-based postings, and transparency in hiring and civil\r\n      servants’ tax records.\r\n• </w:t>
      </w:r>
      <w:r>
        <w:rPr>
          <w:rStyle w:val="VerbatimChar"/>
        </w:rPr>
        <w:lastRenderedPageBreak/>
        <w:t>Comparisons and Process\r\n   - Regional comparisons</w:t>
      </w:r>
      <w:r>
        <w:rPr>
          <w:rStyle w:val="VerbatimChar"/>
        </w:rPr>
        <w:t xml:space="preserve"> are helpful but need to be considered carefully. Georgia, for example, offers\r\n      a model for e-governance reforms and addressing petty corruption, but is likely different than\r\n      Armenia concerning timing and scale.\r\n   - Sequencing is criti</w:t>
      </w:r>
      <w:r>
        <w:rPr>
          <w:rStyle w:val="VerbatimChar"/>
        </w:rPr>
        <w:t>cal, but the literature offers little guidance on optimal sequencing. With that\r\n      said, reforms are likely to be most successful if they proceed at a moderate pace and do not\r\n      alienate important players even if those important players ultima</w:t>
      </w:r>
      <w:r>
        <w:rPr>
          <w:rStyle w:val="VerbatimChar"/>
        </w:rPr>
        <w:t xml:space="preserve">tely impede efforts to achieve\r\n      good governance.\r\nUSAID.GOV                                                   GOVERNANCE IN ARMENIA: AN EVIDENCE REVIEW   | 32\r\n"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[36] "  3.      ANALYSIS OF ARMENIAN V-DEM GOVERNANCE\r\n          INDICATORS\r\n  3.1.       INTRODUCTION\r\nThis sectio</w:t>
      </w:r>
      <w:r>
        <w:rPr>
          <w:rStyle w:val="VerbatimChar"/>
        </w:rPr>
        <w:t>n presents a V-Dem analysis report on a number of factors related to Armenian democracy\r\nand governance over time and in regional context. We begin with summary measures for the key principles\r\nof democracy as well as a measure of corruption. We then t</w:t>
      </w:r>
      <w:r>
        <w:rPr>
          <w:rStyle w:val="VerbatimChar"/>
        </w:rPr>
        <w:t>urn to a series of time plots on overall\r\ndemocracy with sub-measures, judicial indices, liberal democracy indices, and corruption indices. We\r\nthen show some results for Armenia relative to other regional cases. Finally, since all of these results rel</w:t>
      </w:r>
      <w:r>
        <w:rPr>
          <w:rStyle w:val="VerbatimChar"/>
        </w:rPr>
        <w:t>y\r\non a single data set, we show that V-Dem tracks another prominent democracy measure, Polity, but\r\nprovide significantly more nuance, which lends more confidence to this study’s focus on V-Dem data.\r\nV-Dem is a database assembled by a worldwide tea</w:t>
      </w:r>
      <w:r>
        <w:rPr>
          <w:rStyle w:val="VerbatimChar"/>
        </w:rPr>
        <w:t>m of professional social scientists. Indicators are\r\nbased on factual information, such as government records, where appropriate. The indicators we review\r\nhere draw heavily on subjective assessments made by country experts; typically five country expe</w:t>
      </w:r>
      <w:r>
        <w:rPr>
          <w:rStyle w:val="VerbatimChar"/>
        </w:rPr>
        <w:t>rts\r\ncontribute to each rating. V-Dem does not document experts’ rationale for indicator changes; in what\r\nfollows, we infer explanations for changes based on events at the time. V-Dem indicators are intended\r\nto be comparable across countries and ov</w:t>
      </w:r>
      <w:r>
        <w:rPr>
          <w:rStyle w:val="VerbatimChar"/>
        </w:rPr>
        <w:t xml:space="preserve">er time, although the reader should acknowledge that there is\r\na margin of error around any given point estimate. In general, higher numbers indicate more democratic\r\npractices, although important exceptions are noted in the text below.\r\n  3.2.      </w:t>
      </w:r>
      <w:r>
        <w:rPr>
          <w:rStyle w:val="VerbatimChar"/>
        </w:rPr>
        <w:t xml:space="preserve"> OVERALL MEASURES FOR ARMENIA\r\nFigure 5 summarizes data on different components of democracy in Armenia over time, with particular\r\npoints documenting 2002, 2007, 2012, and 2017. The overlap between polygons indicates a lack of change in\r\nmeasures on</w:t>
      </w:r>
      <w:r>
        <w:rPr>
          <w:rStyle w:val="VerbatimChar"/>
        </w:rPr>
        <w:t xml:space="preserve"> each indicator over time. Six concepts are presented. For the five democracy indicators, each\r\nindicator ranges from 0 to 1, where 0 represents a less democratic and 1 represents a more democratic\r\nscore. At the northern point of the figure is Elector</w:t>
      </w:r>
      <w:r>
        <w:rPr>
          <w:rStyle w:val="VerbatimChar"/>
        </w:rPr>
        <w:t>al Democracy (index of freedom of association; clean\r\nelections; freedom of expression;          Figure 5. Armenia: Principles of Democracy Indices &amp; Corruption\r\nelected executive; and suffrage); this\r\nwas somewhat higher in 2002 but has\r\ngenerally</w:t>
      </w:r>
      <w:r>
        <w:rPr>
          <w:rStyle w:val="VerbatimChar"/>
        </w:rPr>
        <w:t xml:space="preserve"> been stable since then.\r\nNortheast is Liberal Democracy\r\n(index of equality before the law and\r\nindividual liberties; judicial constraints\r\non the executive; and legislative\r\nconstraints on the executive); this has\r\nbeen very stable over time.</w:t>
      </w:r>
      <w:r>
        <w:rPr>
          <w:rStyle w:val="VerbatimChar"/>
        </w:rPr>
        <w:t xml:space="preserve"> Southeast\r\nis Deliberative Democracy (index of\r\nmeasures of how political elites\r\nreason on and justify public policy\r\nand engage in consultation); this was\r\nhigher in 2017. South is Egalitarian\r\nDemocracy (index based on measures\r\nof equal </w:t>
      </w:r>
      <w:r>
        <w:rPr>
          <w:rStyle w:val="VerbatimChar"/>
        </w:rPr>
        <w:t xml:space="preserve">rights/freedoms </w:t>
      </w:r>
      <w:r>
        <w:rPr>
          <w:rStyle w:val="VerbatimChar"/>
        </w:rPr>
        <w:lastRenderedPageBreak/>
        <w:t xml:space="preserve">for all people\r\nand equal distribution of resources\r\nUSAID.GOV                                                 GOVERNANCE IN ARMENIA: AN EVIDENCE REVIEW     |  33\r\n"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[37] "across all social groups); this was highest in 2002 but then eroded over time. The change in this index indicates\r\nthat V-Dem experts evaluated that equal protection before the law and equal access</w:t>
      </w:r>
      <w:r>
        <w:rPr>
          <w:rStyle w:val="VerbatimChar"/>
        </w:rPr>
        <w:t xml:space="preserve"> to resources eroded over\r\ntime. For context, the magnitude of the decrease in the V-Dem measure of Egalitarian Democracy from 2007-2017\r\nwas on par with simultaneous decreases in Ukraine and Russia (V-Dem Annual Democracy Report 2018).\r\nSouthwest is</w:t>
      </w:r>
      <w:r>
        <w:rPr>
          <w:rStyle w:val="VerbatimChar"/>
        </w:rPr>
        <w:t xml:space="preserve"> Participatory Democracy (index of civil society participation, citizen initiatives, and direct\r\nvoting for officials at all levels of government). This was low and stable throughout much of the period and\r\nthen notably increased in 2017. This reflects</w:t>
      </w:r>
      <w:r>
        <w:rPr>
          <w:rStyle w:val="VerbatimChar"/>
        </w:rPr>
        <w:t xml:space="preserve"> the increase in civil society activity and citizen participation\r\nthat took place in the context of Armenia’s political transition. Northwest is Corruption (index of\r\nlegislative, judicial, executive, and public-sector corruption measures). This range</w:t>
      </w:r>
      <w:r>
        <w:rPr>
          <w:rStyle w:val="VerbatimChar"/>
        </w:rPr>
        <w:t>s from 0, or no corruption,\r\nto 1, or total corruption. This measure has been consistently high in Armenia over time, although V-Dem\r\nexperts identified an improvement in corruption over the 2007 to 2017 period (as indicated by the decrease\r\nin the c</w:t>
      </w:r>
      <w:r>
        <w:rPr>
          <w:rStyle w:val="VerbatimChar"/>
        </w:rPr>
        <w:t>orruption measure).\r\nFigure 6 displays the overall measure of electoral democracy (northern point in Figure 5) in V-Dem, and\r\nit breaks down the sub-indices that contribute to this overall measure. We plot scores for 1990-2017.\r\nFor all measures, hig</w:t>
      </w:r>
      <w:r>
        <w:rPr>
          <w:rStyle w:val="VerbatimChar"/>
        </w:rPr>
        <w:t xml:space="preserve">her values indicate more democratic outcomes. Electoral Democracy (also known\r\nas “polyarchy,” Dahl, 1973)\r\nintends to record the                      Figure 6. Armenia: Democracy with Sub-Measures, Corruption, and\r\nresponsiveness of rulers to       </w:t>
      </w:r>
      <w:r>
        <w:rPr>
          <w:rStyle w:val="VerbatimChar"/>
        </w:rPr>
        <w:t xml:space="preserve">         Violence\r\ncitizens, when this is “achieved\r\nthrough electoral competition for\r\nthe electorate’s approval under\r\ncircumstances when suffrage is\r\nextensive; political and civil society\r\norganizations can operate freely;\r\nelections are </w:t>
      </w:r>
      <w:r>
        <w:rPr>
          <w:rStyle w:val="VerbatimChar"/>
        </w:rPr>
        <w:t>clean and not marred\r\nby fraud or systematic\r\nirregularities; and elections affect\r\nthe composition of the chief\r\nexecutive of the country”\r\n(Coppedge et al., 2018). Overall,\r\nElectoral Democracy was high\r\nimmediately following Armenia’s\r\ni</w:t>
      </w:r>
      <w:r>
        <w:rPr>
          <w:rStyle w:val="VerbatimChar"/>
        </w:rPr>
        <w:t xml:space="preserve">ndependence from the Soviet\r\nUnion, but it fell meaningfully by\r\nthe mid-1990s. It hit new lows in\r\nthe mid-2000s although rose again\r\nin recent years. Taking into\r\naccount margins of error around\r\neach point estimate, the major\r\ntakeaway is </w:t>
      </w:r>
      <w:r>
        <w:rPr>
          <w:rStyle w:val="VerbatimChar"/>
        </w:rPr>
        <w:t>that Electoral\r\nDemocracy by 2017 was lower\r\nthan levels in the early 2000s.\r\nIn Figure 6, the sub-indices that\r\ncontribute to the overall electoral\r\nUSAID.GOV                                                     GOVERNANCE IN ARMENIA: AN EVIDENCE</w:t>
      </w:r>
      <w:r>
        <w:rPr>
          <w:rStyle w:val="VerbatimChar"/>
        </w:rPr>
        <w:t xml:space="preserve"> REVIEW       |  34\r\n"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[38] "democracy score provide fur</w:t>
      </w:r>
      <w:r>
        <w:rPr>
          <w:rStyle w:val="VerbatimChar"/>
        </w:rPr>
        <w:t>ther context on the overall trend. Taken together, these variables measure\r\npolitical participation, the strength of rule of law and electoral institutions, and the threat of physical\r\nviolence. First, focus on the fact that this group of indicators ar</w:t>
      </w:r>
      <w:r>
        <w:rPr>
          <w:rStyle w:val="VerbatimChar"/>
        </w:rPr>
        <w:t xml:space="preserve">e all around the same level on the overall\r\nscale from 0 (worse outcome) to 1 (better outcome). This suggests that the various aspects of political\r\nand civil life relevant to democracy in Armenia are all varying around a low beginning baseline. There </w:t>
      </w:r>
      <w:r>
        <w:rPr>
          <w:rStyle w:val="VerbatimChar"/>
        </w:rPr>
        <w:t xml:space="preserve">are\r\nthree notable exceptions. First, Electoral Contestation was extremely high at independence, in the midst\r\nof undeveloped political parties, but it dropped significantly by </w:t>
      </w:r>
      <w:r>
        <w:rPr>
          <w:rStyle w:val="VerbatimChar"/>
        </w:rPr>
        <w:lastRenderedPageBreak/>
        <w:t>the early 2000s. Second, Accountability\r\nfollowed the same trend. Account</w:t>
      </w:r>
      <w:r>
        <w:rPr>
          <w:rStyle w:val="VerbatimChar"/>
        </w:rPr>
        <w:t>ability captures “constraints on the government’s use of power\r\nthrough requirements for justification for its actions and potential sanctions” (V-Dem Codebook). This\r\nincludes accountability through elections, checks and balances between institutions,</w:t>
      </w:r>
      <w:r>
        <w:rPr>
          <w:rStyle w:val="VerbatimChar"/>
        </w:rPr>
        <w:t xml:space="preserve"> and oversight by civil\r\nsociety and media. Armenia’s overall decline in electoral democracy from independence to the early\r\n2000s tracks the regime’s ability to limit these forms of accountability. The third exception is Civil\r\nLiberties, which incl</w:t>
      </w:r>
      <w:r>
        <w:rPr>
          <w:rStyle w:val="VerbatimChar"/>
        </w:rPr>
        <w:t>udes “the absence of physical violence committed by government agents and the\r\nabsence of constraints of private liberties and political liberties by the government” (V-Dem Codebook).\r\nSince independence, Civil Liberties have been notably higher in Arm</w:t>
      </w:r>
      <w:r>
        <w:rPr>
          <w:rStyle w:val="VerbatimChar"/>
        </w:rPr>
        <w:t>enia than the other aspects of\r\npolitical life considered here, and Civil Liberties have been generally increasing over time. This increase\r\nparallels the indicator for Less Physical Violence, which indicates a considerably lower threat of physical\r\n</w:t>
      </w:r>
      <w:r>
        <w:rPr>
          <w:rStyle w:val="VerbatimChar"/>
        </w:rPr>
        <w:t xml:space="preserve">violence around 2010. (For definitions of other variables, see V-Dem Codebook.)\r\nFigure 7. Armenia: Judicial Democracy, with Sub-Measures                         3.3. JUDICIARY\r\n                                                                          </w:t>
      </w:r>
      <w:r>
        <w:rPr>
          <w:rStyle w:val="VerbatimChar"/>
        </w:rPr>
        <w:t xml:space="preserve">       Figure 7 plots Armenia’s\r\n                                                                                 judicial scores for 1990-2017.\r\n                                                                                 Please see descriptions b</w:t>
      </w:r>
      <w:r>
        <w:rPr>
          <w:rStyle w:val="VerbatimChar"/>
        </w:rPr>
        <w:t xml:space="preserve">elow\r\n                                                                                 to interpret high versus low\r\n                                                                                 scores. In general, V-Dem\r\n                         </w:t>
      </w:r>
      <w:r>
        <w:rPr>
          <w:rStyle w:val="VerbatimChar"/>
        </w:rPr>
        <w:t xml:space="preserve">                                                        experts consider all courts in\r\n                                                                                 the judicial system at every\r\n                                                     </w:t>
      </w:r>
      <w:r>
        <w:rPr>
          <w:rStyle w:val="VerbatimChar"/>
        </w:rPr>
        <w:t xml:space="preserve">                            level. The overall Fewer\r\n                                                                                 Judicial Constraints score in\r\n                                                                                 Figur</w:t>
      </w:r>
      <w:r>
        <w:rPr>
          <w:rStyle w:val="VerbatimChar"/>
        </w:rPr>
        <w:t>e 7 is based on experts’\r\n                                                                                 evaluations of the extent to\r\n                                                                                 which political actors respect\r\n</w:t>
      </w:r>
      <w:r>
        <w:rPr>
          <w:rStyle w:val="VerbatimChar"/>
        </w:rPr>
        <w:t xml:space="preserve">                                                                                 the constitution and comply\r\n                                                                                 with court decisions, as well\r\n                              </w:t>
      </w:r>
      <w:r>
        <w:rPr>
          <w:rStyle w:val="VerbatimChar"/>
        </w:rPr>
        <w:t xml:space="preserve">                                                   as the independence of the\r\n                                                                                 courts from political\r\n                                                                     </w:t>
      </w:r>
      <w:r>
        <w:rPr>
          <w:rStyle w:val="VerbatimChar"/>
        </w:rPr>
        <w:t xml:space="preserve">            interference. In Armenia,\r\n                                                                                 there are constraints on the\r\n                                                                                 judiciary, and those\</w:t>
      </w:r>
      <w:r>
        <w:rPr>
          <w:rStyle w:val="VerbatimChar"/>
        </w:rPr>
        <w:t xml:space="preserve">r\n                                                                                 constraints have been quite\r\n                                                                                 constant since independence.\r\n                            </w:t>
      </w:r>
      <w:r>
        <w:rPr>
          <w:rStyle w:val="VerbatimChar"/>
        </w:rPr>
        <w:t xml:space="preserve">                                                     Meaningful movement has\r\n                                                                                 occurred in related judicial\r\n                                                               </w:t>
      </w:r>
      <w:r>
        <w:rPr>
          <w:rStyle w:val="VerbatimChar"/>
        </w:rPr>
        <w:t xml:space="preserve">                  quality measures, however.\r\n                                                                                 First, note the variation in\r\n                                                                                 Judicial Purge</w:t>
      </w:r>
      <w:r>
        <w:rPr>
          <w:rStyle w:val="VerbatimChar"/>
        </w:rPr>
        <w:t>s, or whether\r\nUSAID.GOV                                                   GOVERNANCE IN ARMENIA: AN EVIDENCE REVIEW       |  35\r\n"</w:t>
      </w:r>
      <w:r>
        <w:br/>
      </w:r>
      <w:r>
        <w:rPr>
          <w:rStyle w:val="VerbatimChar"/>
        </w:rPr>
        <w:t>## [39] "judges were removed from their posts without cause. This was a particular problem around 2005-2010\r\n(lower va</w:t>
      </w:r>
      <w:r>
        <w:rPr>
          <w:rStyle w:val="VerbatimChar"/>
        </w:rPr>
        <w:t xml:space="preserve">lues on Fewer Judicial Purges) but has been less of a problem in recent years. Second, note the\r\nvariation in the Less Judicial Reform measure. This marks periods in which more judicial reform was\r\nundertaken (negative values), specifically </w:t>
      </w:r>
      <w:r>
        <w:rPr>
          <w:rStyle w:val="VerbatimChar"/>
        </w:rPr>
        <w:lastRenderedPageBreak/>
        <w:t>in the year</w:t>
      </w:r>
      <w:r>
        <w:rPr>
          <w:rStyle w:val="VerbatimChar"/>
        </w:rPr>
        <w:t>s after 1995 and 2010. However, these reforms did\r\nnot improve or change the overall quality of the judiciary in terms of Fewer Judicial Constraints. Third,\r\nnote the non-democratic trend in the Less Judicial Review measure over time; as of 2017, judic</w:t>
      </w:r>
      <w:r>
        <w:rPr>
          <w:rStyle w:val="VerbatimChar"/>
        </w:rPr>
        <w:t xml:space="preserve">ial review\r\nis particularly absent. The other indicators in Figure 7 capture government attacks on the judiciary,\r\ngovernment compliance with judicial rulings, and judicial accountability. While there has been some\r\nvariation in these measures, they </w:t>
      </w:r>
      <w:r>
        <w:rPr>
          <w:rStyle w:val="VerbatimChar"/>
        </w:rPr>
        <w:t>have not followed a distinct pattern over time, and values in 2017 are\r\naround where they were in the mid 1990s. (For definitions of these variables, see V-Dem Codebook.) In\r\nsum, the major takeaway from Figure 7 is that the judiciary in Armenia has be</w:t>
      </w:r>
      <w:r>
        <w:rPr>
          <w:rStyle w:val="VerbatimChar"/>
        </w:rPr>
        <w:t>en marked by stability and\r\nhas not undergone meaningful reform that has removed constraints.\r\n  3.4.      LIBERAL DEMOCRACY\r\nFigure 8 plots the trajectory of Liberal Democracy in Armenia, from 1990-2017. Higher values indicate\r\nmore democratic out</w:t>
      </w:r>
      <w:r>
        <w:rPr>
          <w:rStyle w:val="VerbatimChar"/>
        </w:rPr>
        <w:t>comes. The Liberal Democracy measure “emphasizes the importance of protecting\r\nindividual and minority rights against\r\n                                         Figure 8. Armenia: Liberal Democracy, with Sub-Measures\r\nthe tyranny of the state and the\</w:t>
      </w:r>
      <w:r>
        <w:rPr>
          <w:rStyle w:val="VerbatimChar"/>
        </w:rPr>
        <w:t>r\ntyranny of the majority” (V-Dem\r\nCodebook). Overall, Liberal\r\nDemocracy was high immediately\r\nupon independence but dropped\r\nmeaningfully by around 2000 and\r\ncontinued to decline thereafter. One\r\nkey takeaway is that the overall\r\nmeasure o</w:t>
      </w:r>
      <w:r>
        <w:rPr>
          <w:rStyle w:val="VerbatimChar"/>
        </w:rPr>
        <w:t>f Liberal Democracy\r\n(bolded line) has been improving\r\nsince 2010; in 2017 it was around the\r\nlevel of the early 2000s. Figure 8\r\nplots Judicial Constraints on the\r\nExecutive and Legislative Constraints\r\non the Executive, which are\r\ncomponent</w:t>
      </w:r>
      <w:r>
        <w:rPr>
          <w:rStyle w:val="VerbatimChar"/>
        </w:rPr>
        <w:t>s of the overall Liberal\r\nDemocracy measure. These have\r\ntrended similarly to the overall\r\nmeasure, meaning that constraints on\r\nthe executive were high following\r\nindependence and today are at\r\naround the levels they were in 2000.\r\nWhat is p</w:t>
      </w:r>
      <w:r>
        <w:rPr>
          <w:rStyle w:val="VerbatimChar"/>
        </w:rPr>
        <w:t>articularly notable in Figure\r\n8 is Equality Before the Law:\r\nIndividual Liberty. This indicator\r\nmeasures the extent to which laws\r\ntransparently, rigorously, and\r\nimpartially enforce the law and the extent to which the law protects citizens’ ph</w:t>
      </w:r>
      <w:r>
        <w:rPr>
          <w:rStyle w:val="VerbatimChar"/>
        </w:rPr>
        <w:t xml:space="preserve">ysical integrity rights,\r\nUSAID.GOV                                                  GOVERNANCE IN ARMENIA: AN EVIDENCE REVIEW      | 36\r\n"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[40] "property rights, freedom from forced labor, freedom of movement, and freedom of religion. First, the\r\nabsolute values of this indicator have been high in the whole period. This can be interpret</w:t>
      </w:r>
      <w:r>
        <w:rPr>
          <w:rStyle w:val="VerbatimChar"/>
        </w:rPr>
        <w:t>ed as\r\nArmenia’s scores being better than other countries at comparable levels of overall Liberal Democracy.\r\nFor example, in an analysis of 2017 data, V-Dem places the level of realized political equality in Armenia\r\nin the top 25% of a set of count</w:t>
      </w:r>
      <w:r>
        <w:rPr>
          <w:rStyle w:val="VerbatimChar"/>
        </w:rPr>
        <w:t>ries with similar overall democracy scores (V-Dem 2018 Democracy\r\nReport, p. 35, Figure 2.2). 31 Second, Individual Liberty has generally improved over time in Armenia,\r\nreaching a new high in 2017. The takeaway is that strong Individual Liberty has be</w:t>
      </w:r>
      <w:r>
        <w:rPr>
          <w:rStyle w:val="VerbatimChar"/>
        </w:rPr>
        <w:t>en a particularly\r\npositive outcome in Armenia even before its political transition.\r\n  3.5.       CORRUPTION IN ARMENIA\r\nFigure 9 captures corruption in Armenia, 1990-2017. Here, higher values indicate worse outcomes, in\r\nterms of more corruption.</w:t>
      </w:r>
      <w:r>
        <w:rPr>
          <w:rStyle w:val="VerbatimChar"/>
        </w:rPr>
        <w:t xml:space="preserve"> We report the overall Political Corruption measure as well as sub measures for\r\nExecutive Corruption and Public-Sector Corruption. The overall measure includes executive (with specific attention to\r\nboth bribery and embezzlement), legislative, and </w:t>
      </w:r>
      <w:r>
        <w:rPr>
          <w:rStyle w:val="VerbatimChar"/>
        </w:rPr>
        <w:lastRenderedPageBreak/>
        <w:t>jud</w:t>
      </w:r>
      <w:r>
        <w:rPr>
          <w:rStyle w:val="VerbatimChar"/>
        </w:rPr>
        <w:t>icial corruption. It intends to cover both petty (low-level) corruption\r\nand grand (large-scale) corruption, bribery Figure 9. Armenia: Corruption, with Sub-Measures\r\nand theft, and corruption intending to\r\ninfluence law making and corruption\r\ninte</w:t>
      </w:r>
      <w:r>
        <w:rPr>
          <w:rStyle w:val="VerbatimChar"/>
        </w:rPr>
        <w:t>nding to influence law implementation.\r\nTo remind the reader, these scores are\r\nbased on input from country experts and\r\nthus draw on more than observable\r\nevents in the news, for example, making\r\nthem particularly valuable. In general,\r\nPoliti</w:t>
      </w:r>
      <w:r>
        <w:rPr>
          <w:rStyle w:val="VerbatimChar"/>
        </w:rPr>
        <w:t>cal Corruption grew sharply\r\nfrom independence until just after\r\n2000, and then leveled off at high\r\nrates. V-Dem experts’ perceptions of\r\nPolitical Corruption did meaningfully\r\ndecline from 2016-2017. The trend\r\nin Executive Corruption paralle</w:t>
      </w:r>
      <w:r>
        <w:rPr>
          <w:rStyle w:val="VerbatimChar"/>
        </w:rPr>
        <w:t>ls the\r\noverall trend, including the decline\r\nfrom 2016-2017. While in the years\r\nimmediately after independence,\r\nPublic Sector Corruption was higher\r\nthan Executive Corruption, since\r\naround 2000 Public Sector\r\nCorruption has been meaningfu</w:t>
      </w:r>
      <w:r>
        <w:rPr>
          <w:rStyle w:val="VerbatimChar"/>
        </w:rPr>
        <w:t>lly\r\nlower. It has also been declining in\r\nthe period from around 2007 to\r\n2017 and not just in the 2016-2017\r\nyear. As a point of comparison,\r\ncorruption levels today on all\r\nindicators are at or above where they were around 2000.\r\n31 For co</w:t>
      </w:r>
      <w:r>
        <w:rPr>
          <w:rStyle w:val="VerbatimChar"/>
        </w:rPr>
        <w:t>ntext, other countries in this set include Egypt (in the lowest 25% of de facto political equality) and Singapore (in the\r\nhighest 25% of de facto political equality).\r\nUSAID.GOV                                                             GOVERNANCE IN</w:t>
      </w:r>
      <w:r>
        <w:rPr>
          <w:rStyle w:val="VerbatimChar"/>
        </w:rPr>
        <w:t xml:space="preserve"> ARMENIA: AN EVIDENCE REVIEW                |   37\r\n"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[41] "  3.6.      DEMOCRACY &amp;</w:t>
      </w:r>
      <w:r>
        <w:rPr>
          <w:rStyle w:val="VerbatimChar"/>
        </w:rPr>
        <w:t xml:space="preserve"> CORRUPTION ACROSS COUNTRIES\r\nFigure 10 compares Armenia with other countries in the post-Soviet space that experienced a political\r\ntransition – by which we mean a widescale, popular protest movement that led to significant electoral\r\nchanges. We co</w:t>
      </w:r>
      <w:r>
        <w:rPr>
          <w:rStyle w:val="VerbatimChar"/>
        </w:rPr>
        <w:t>mpare each country in the year before the political transition to provide context on\r\ndemocratic indicators and corruption in the environment immediately preceding the political transition.\r\nThe significant overlap across the polygons suggests similari</w:t>
      </w:r>
      <w:r>
        <w:rPr>
          <w:rStyle w:val="VerbatimChar"/>
        </w:rPr>
        <w:t>ties in the characteristics of democracy in these\r\ncountries in the year before their respective political transitions. The indicators are the same as those in\r\nFigure 1. Armenia is notable for being in the “middle of the pack” on most of these indicat</w:t>
      </w:r>
      <w:r>
        <w:rPr>
          <w:rStyle w:val="VerbatimChar"/>
        </w:rPr>
        <w:t>ors; it is at or\r\nbelow the different democracy measures in Moldova 2008 and Ukraine 2003, but above Georgia 2002 and\r\nKyrgyzstan 2004. When it comes to corruption, the level in Armenia 2017 is significantly lower than it was in\r\nGeorgia 2002, Ukrain</w:t>
      </w:r>
      <w:r>
        <w:rPr>
          <w:rStyle w:val="VerbatimChar"/>
        </w:rPr>
        <w:t>e 2003, or Kyrgyzstan 2004; it is about on par with Moldova 2008.\r\n          Figure 10. Armenia vs. Regional Comparisons: Principles of Democracy Indices &amp;\r\n          Corruption\r\nFigure 11 compares Armenia with other countries in the post-Soviet spac</w:t>
      </w:r>
      <w:r>
        <w:rPr>
          <w:rStyle w:val="VerbatimChar"/>
        </w:rPr>
        <w:t>e that experienced political\r\ntransitions by tracking their scores on democracy over time, from 1990–2017. Years are on the x-axis, and\r\noverall standardized democracy scores are on the y-axis. This is again the Electoral Democracy score, an\r\noverall</w:t>
      </w:r>
      <w:r>
        <w:rPr>
          <w:rStyle w:val="VerbatimChar"/>
        </w:rPr>
        <w:t xml:space="preserve"> measure of electoral democracy and democratic practices (see discussion above). The black\r\nshapes on the graph indicate the year in which their political transitions took place. We can see that the\r\nUSAID.GOV                                           </w:t>
      </w:r>
      <w:r>
        <w:rPr>
          <w:rStyle w:val="VerbatimChar"/>
        </w:rPr>
        <w:t xml:space="preserve">        GOVERNANCE IN ARMENIA: AN EVIDENCE REVIEW        | 38\r\n"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[42] "Electoral Democracy score               Figure 11. Armenia and Regional Countries: Comparative Scores on\r\</w:t>
      </w:r>
      <w:r>
        <w:rPr>
          <w:rStyle w:val="VerbatimChar"/>
        </w:rPr>
        <w:t xml:space="preserve">nincreases in each of Georgia,           </w:t>
      </w:r>
      <w:r>
        <w:rPr>
          <w:rStyle w:val="VerbatimChar"/>
        </w:rPr>
        <w:lastRenderedPageBreak/>
        <w:t>Democracy\r\nKyrgyzstan, Ukraine, and Moldova\r\nafter their political transitions. The\r\nincrease only lasts a few years in\r\nMoldova and Ukraine, with\r\nUkraine’s score declining to around\r\npre-transition lev</w:t>
      </w:r>
      <w:r>
        <w:rPr>
          <w:rStyle w:val="VerbatimChar"/>
        </w:rPr>
        <w:t>els. Kyrgyzstan’s\r\nscore increases only slightly\r\nfollowing its political transition. For\r\ncomparison, political\r\ndevelopments in Kyrgyzstan that\r\ntook place within the structure of\r\nthat country’s institutions (and\r\nthus not in response to a</w:t>
      </w:r>
      <w:r>
        <w:rPr>
          <w:rStyle w:val="VerbatimChar"/>
        </w:rPr>
        <w:t xml:space="preserve"> political\r\ntransition related protest\r\nmovement) accounted for a\r\ngreater amount of democratic\r\nimprovement since around 2010.\r\nThe takeaway is that political\r\ntransitions have correlated with\r\nlarge improvements in democracy\r\nin general, </w:t>
      </w:r>
      <w:r>
        <w:rPr>
          <w:rStyle w:val="VerbatimChar"/>
        </w:rPr>
        <w:t>but not in all cases, and\r\nthose improvements are not\r\nstable over time. Armenia’s\r\nElectoral Democracy trend is\r\nincluded for context. In 2017,\r\nbefore its political transition,\r\nArmenia’s Electoral Democracy\r\nscore was at or lower than the\</w:t>
      </w:r>
      <w:r>
        <w:rPr>
          <w:rStyle w:val="VerbatimChar"/>
        </w:rPr>
        <w:t>r\nlevel in Georgia, Ukraine, and Moldova at the time of their political transitions (and higher than\r\nKyrgyzstan’s was at the time).\r\nFigure 12 again compares Armenia with other countries in the post-Soviet space that experienced a political\r\ntransi</w:t>
      </w:r>
      <w:r>
        <w:rPr>
          <w:rStyle w:val="VerbatimChar"/>
        </w:rPr>
        <w:t>tion by tracking their scores on Political Corruption over time, from 1990-2017. Years are on the x-\r\naxis and Political Corruption scores are on the y-axis. Political Corruption captures both “petty” and\r\n“grand” corruption, including both bribery and</w:t>
      </w:r>
      <w:r>
        <w:rPr>
          <w:rStyle w:val="VerbatimChar"/>
        </w:rPr>
        <w:t xml:space="preserve"> theft, that influences law making and implementation (see\r\nagain Figure 9). The black shapes on the graph indicate the year in which the political transition took\r\nplace. The year in which the political transition took place in Kyrgyzstan and Ukraine </w:t>
      </w:r>
      <w:r>
        <w:rPr>
          <w:rStyle w:val="VerbatimChar"/>
        </w:rPr>
        <w:t>does not precede\r\na notable improvement in the overall trend in either country. Political Corruption meaningfully declined\r\nfollowing events in Moldova in 2009, although it is now back at its previous level. Most notably, Political\r\nCorruption declin</w:t>
      </w:r>
      <w:r>
        <w:rPr>
          <w:rStyle w:val="VerbatimChar"/>
        </w:rPr>
        <w:t>ed dramatically following Georgia’s political transition. Corruption in Georgia in recent\r\nyears has hovered around the level it dropped to following its transition, but that drop was so\r\nmeaningfully large as to put it on a totally different trajector</w:t>
      </w:r>
      <w:r>
        <w:rPr>
          <w:rStyle w:val="VerbatimChar"/>
        </w:rPr>
        <w:t>y than the other political transition countries\r\nin the figure. The Georgian case gives a proof-of-concept that significant anti-corruption gains are\r\npossible in the immediate aftermath of a political transition, and those gains need not erode away ov</w:t>
      </w:r>
      <w:r>
        <w:rPr>
          <w:rStyle w:val="VerbatimChar"/>
        </w:rPr>
        <w:t xml:space="preserve">er\r\nUSAID.GOV                                                   GOVERNANCE IN ARMENIA: AN EVIDENCE REVIEW       | 39\r\n"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[43] "time. Armenia’s Political Corruption trend is included for context; it is among the lowest until the mid-\r\n2000s, and by 2017 its corruption level is clustered with the four countries other</w:t>
      </w:r>
      <w:r>
        <w:rPr>
          <w:rStyle w:val="VerbatimChar"/>
        </w:rPr>
        <w:t xml:space="preserve"> than Georgia.\r\n             Figure 12. Armenia and Neighbors: Comparative Scores on Corruption\r\n  3.7.     COMPARING V-DEM TO POLITY (WITH FREEDOM HOUSE\r\n           IMPUTATION)\r\nFigure 13 compares the V-Dem Electoral Democracy score for Armenia (1</w:t>
      </w:r>
      <w:r>
        <w:rPr>
          <w:rStyle w:val="VerbatimChar"/>
        </w:rPr>
        <w:t>990–2017) to an alternative\r\nmeasure of democracy, which is a standardized measure from Polity and Freedom House. While both\r\nindices note a change in the years after 1995, the relative size of that change — both the drop-off and\r\nthe subsequent incr</w:t>
      </w:r>
      <w:r>
        <w:rPr>
          <w:rStyle w:val="VerbatimChar"/>
        </w:rPr>
        <w:t xml:space="preserve">ease — is larger in the Polity indicator. Coming to recent years, the Polity indicator\r\ndeclines substantially from 2016 to 2017. The V-Dem indicator also shows a decline, but a much subtler\r\none. The V-Dem indicator places the score in 2017 </w:t>
      </w:r>
      <w:r>
        <w:rPr>
          <w:rStyle w:val="VerbatimChar"/>
        </w:rPr>
        <w:lastRenderedPageBreak/>
        <w:t>around the</w:t>
      </w:r>
      <w:r>
        <w:rPr>
          <w:rStyle w:val="VerbatimChar"/>
        </w:rPr>
        <w:t xml:space="preserve"> level of the score in 2013, and still higher\r\nthan scores since around 2003; the Polity indicator drops the score to significantly lower than that\r\nrecorded in 2003. In our view, the V-Dem indicator levels and trends are more useful than the Polity\r\</w:t>
      </w:r>
      <w:r>
        <w:rPr>
          <w:rStyle w:val="VerbatimChar"/>
        </w:rPr>
        <w:t xml:space="preserve">nindicator, because the V-Dem indicator is based on a wide variety of sub-indicators reviewed here that\r\nUSAID.GOV                                                  GOVERNANCE IN ARMENIA: AN EVIDENCE REVIEW      | 40\r\n"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[44] "allow it to capture</w:t>
      </w:r>
      <w:r>
        <w:rPr>
          <w:rStyle w:val="VerbatimChar"/>
        </w:rPr>
        <w:t xml:space="preserve"> nuance missing      Figure 13. Comparing V-Dem to Polity\r\nfrom the Polity indicator. In the\r\ncontext of Armenia, that nuance\r\nreveals that the Polity indicator\r\noverexaggerated changes in\r\ndemocracy in Armenia, particularly\r\nin the late 1990s </w:t>
      </w:r>
      <w:r>
        <w:rPr>
          <w:rStyle w:val="VerbatimChar"/>
        </w:rPr>
        <w:t>and since 2015.\r\n  3.8.      CONCLUSION\r\nWe emphasize several key\r\ntakeaways from this analysis of V-\r\nDem indicators. First, in recent\r\nyears Armenia’s democracy scores\r\nhave been relatively stable and\r\nnear, albeit generally lower, than\r\n</w:t>
      </w:r>
      <w:r>
        <w:rPr>
          <w:rStyle w:val="VerbatimChar"/>
        </w:rPr>
        <w:t>those of other political transition\r\ncountries in the region. As a\r\ncomponent of this, we highlight the\r\nstability and low level of Armenia’s\r\nscores when it comes to judicial\r\nqualities. A notably good outcome\r\nin Armenia is the high level of\</w:t>
      </w:r>
      <w:r>
        <w:rPr>
          <w:rStyle w:val="VerbatimChar"/>
        </w:rPr>
        <w:t>r\nindividual liberty in terms of\r\nindividual equality before the law\r\nand, particularly, the extent to\r\nwhich the law protects citizens\r\nfrom violence. We also highlight\r\nthat corruption in Armenia has\r\nbeen high and stable since the\r\n2000s,</w:t>
      </w:r>
      <w:r>
        <w:rPr>
          <w:rStyle w:val="VerbatimChar"/>
        </w:rPr>
        <w:t xml:space="preserve"> although there was a meaningful decline in 2016-2017, and public-sector corruption is lower and\r\nhas seen more improvement than executive corruption. As of 2017 Armenia has similar levels of\r\ncorruption to Ukraine, Moldova, and Kyrgyzstan, but the cor</w:t>
      </w:r>
      <w:r>
        <w:rPr>
          <w:rStyle w:val="VerbatimChar"/>
        </w:rPr>
        <w:t xml:space="preserve">ruption in this group is of a meaningfully\r\ndifferent scale than that in Georgia since its political transition.\r\nUSAID.GOV                                                   GOVERNANCE IN ARMENIA: AN EVIDENCE REVIEW | 41\r\n"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[45] " 4.       REFERENCES\r\nAcemoglu, Daron, and Matthew O. Jackson. 2017. “Social Norms and the Enforcemen</w:t>
      </w:r>
      <w:r>
        <w:rPr>
          <w:rStyle w:val="VerbatimChar"/>
        </w:rPr>
        <w:t>t of Laws.” Journal\r\n      of the European Economic Association 15(December 2017): 245–95.\r\nAcemoglu, Daron, Simon Johnson, and James A. Robinson. 2002. “Reversal of Fortune: Geography and\r\n         Institutions in the Making of the Modern World Inco</w:t>
      </w:r>
      <w:r>
        <w:rPr>
          <w:rStyle w:val="VerbatimChar"/>
        </w:rPr>
        <w:t>me Distribution.” Quarterly Journal of\r\n         Economics 117(4): 1231–94.\r\nAcemoglu, Daron, Simon Johnson, and James A. Robinson. 2005. “Institutions as a Fundamental Cause of\r\n      Long-Run Growth.” Handbook of Economic Growth 1(SUPPL. PART A): 3</w:t>
      </w:r>
      <w:r>
        <w:rPr>
          <w:rStyle w:val="VerbatimChar"/>
        </w:rPr>
        <w:t xml:space="preserve">85–472.\r\nAcemoglu, Daron and James A. Robinson. 2006. Economic Origins of Dictatorship and Democracy.\r\n         Cambridge: Cambridge University Press.\r\nAcemoglu, Daron, and James A. Robinson. 2012. Why Nations Fail: The Origins of Power, Prosperity, </w:t>
      </w:r>
      <w:r>
        <w:rPr>
          <w:rStyle w:val="VerbatimChar"/>
        </w:rPr>
        <w:t xml:space="preserve">and\r\n      Poverty. New York: Crown Business.\r\nAdes, Alberto, and Edward L. Glaeser. 1995. “Trade and Circuses: Explaining Urban Giants.” Quarterly\r\n         Journal of Economics 110(1): 195–227.\r\nAgarwal, Sanjay, David Post, and Varsha Venugopal. </w:t>
      </w:r>
      <w:r>
        <w:rPr>
          <w:rStyle w:val="VerbatimChar"/>
        </w:rPr>
        <w:t>2013. Citizen Report Cards: Monitoring Citizen\r\n         Perspectives to Improve Service Delivery. Washington, DC.\r\nAlesina, Alberto et al. 2003. “Fractionalization.” Journal of Economic Growth 8: 155–94.\r\nAlesina, Alberto, Arnaud Devleeschauwer, Wil</w:t>
      </w:r>
      <w:r>
        <w:rPr>
          <w:rStyle w:val="VerbatimChar"/>
        </w:rPr>
        <w:t>liam Easterly, Sergio Kurlat and Romain Wacziarg. 2003.\r\n         “Fractionalization.” Journal of Economic Growth 8:155–194.\r\nAlesina, Alberto, Reza Baqir and William Easterly. 1999. “Public Goods and Ethnic Divisions.” Quarterly\r\n         Journal of</w:t>
      </w:r>
      <w:r>
        <w:rPr>
          <w:rStyle w:val="VerbatimChar"/>
        </w:rPr>
        <w:t xml:space="preserve"> Economics 114(4):1243–1284.\r\nAlesina, Alberto, Stelios </w:t>
      </w:r>
      <w:r>
        <w:rPr>
          <w:rStyle w:val="VerbatimChar"/>
        </w:rPr>
        <w:lastRenderedPageBreak/>
        <w:t>Michalopoulos, and Elias Papaioannou. 2016. “Ethnic Inequality.” Journal of\r\n         Political Economy 124(2): 428–88.\r\nAmbrosio, T. 2009. Authoritarian Backlash. London: Routledge.\r\nAnderson</w:t>
      </w:r>
      <w:r>
        <w:rPr>
          <w:rStyle w:val="VerbatimChar"/>
        </w:rPr>
        <w:t xml:space="preserve">, Terry. 2018. Local Government Anti-Corruption Initiative in Post-Soviet Georgia and\r\n         Ukraine. In The Routledge Handbook of International Local Government, eds. Richard Kerley, Joyce\r\n         Little, and Pamela Dunning. London and New York: </w:t>
      </w:r>
      <w:r>
        <w:rPr>
          <w:rStyle w:val="VerbatimChar"/>
        </w:rPr>
        <w:t>Routledge, 435–49.\r\nAndreasyan, Zhanna and Georgi Derluguian. 2015. “Fuel Protests in Armenia.” New Masses. 11:1–20.\r\nAndrews, Matt. 2015. “Explaining Positive Deviance in Public Sector Reforms in Development.” World\r\n      Development 74: 197–208.\r</w:t>
      </w:r>
      <w:r>
        <w:rPr>
          <w:rStyle w:val="VerbatimChar"/>
        </w:rPr>
        <w:t xml:space="preserve">\nAndrews, Matt, Lant Pritchett, and Michael Woolcock. 2013. “Escaping Capability Traps Through\r\n         Problem Driven Iterative Adaptation (PDIA).” World Development 51: 234–44.\r\nUSAID.GOV                                                  GOVERNANCE </w:t>
      </w:r>
      <w:r>
        <w:rPr>
          <w:rStyle w:val="VerbatimChar"/>
        </w:rPr>
        <w:t xml:space="preserve">IN ARMENIA: AN EVIDENCE REVIEW  |   42\r\n"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[46] "Andrews, Matt, Lant Pritchett and Michael Woolcock. 2017. Building State Capability: Evidence, Analysis,\r\n         Action. New Haven, Connecticut: Oxford University Press.\r\nAshraf, Na</w:t>
      </w:r>
      <w:r>
        <w:rPr>
          <w:rStyle w:val="VerbatimChar"/>
        </w:rPr>
        <w:t>va, Oriana Bandiera, and B. Kelsey Jack. 2014. “No Margin, No Mission? A Field Experiment\r\n         on Incentives for Public Service Delivery.” Journal of Public Economics 120: 1–17.\r\nAvis, Eric, Claudio Ferraz and Frederico Finan. 2018. “Do Government</w:t>
      </w:r>
      <w:r>
        <w:rPr>
          <w:rStyle w:val="VerbatimChar"/>
        </w:rPr>
        <w:t xml:space="preserve"> Audits Reduce Corruption?\r\n         Estimating the Impacts of Exposing Corrupt Politicians.” Journal of Political Economy 126(5):1912–\r\n         1964.\r\nBai, Ying, and Ruixue Jia. 2016. “Elite Recruitment and Political Stability: The Impact of the Ab</w:t>
      </w:r>
      <w:r>
        <w:rPr>
          <w:rStyle w:val="VerbatimChar"/>
        </w:rPr>
        <w:t>olition of\r\n         China’s Civil Service Exam.” Econometrica 84(2): 677–733.\r\nBallard-Rosa, Cameron. 2016. “Hungry for Change: Urban Bias and Autocratic Sovereign Default.”\r\n         International Organization 70(02): 313–46.\r\nBanerjee, Abhijit V</w:t>
      </w:r>
      <w:r>
        <w:rPr>
          <w:rStyle w:val="VerbatimChar"/>
        </w:rPr>
        <w:t>. et al. 2010. “Pitfalls of Participatory Programs: Evidence from a Randomized\r\n         Evaluation in Education in India.” American Economic Journal: Economic Policy 2(1): 1–30.\r\nBanerjee, Abhijit V., Rema Hanna, Jordan Kyle, Benjamin A. Olken and Sud</w:t>
      </w:r>
      <w:r>
        <w:rPr>
          <w:rStyle w:val="VerbatimChar"/>
        </w:rPr>
        <w:t>arno Sumarto. 2018. “Tangible\r\n         Information and Citizen Empowerment: Identification Cards and Food Subsidy Programs in\r\n         Indonesia.” Journal of Political Economy 126(2):451–491.\r\nBanful, Afua Branoah. 2011. “Do Formula-Based Intergove</w:t>
      </w:r>
      <w:r>
        <w:rPr>
          <w:rStyle w:val="VerbatimChar"/>
        </w:rPr>
        <w:t>rnmental Transfer Mechanisms Eliminate\r\n         Politically Motivated Targeting? Evidence from Ghana.” Journal of Development Economics\r\n         96(2):380–390.\r\nBardhan, Pranab. 2002. “Decentralization of Governance and Development.” Journal of Eco</w:t>
      </w:r>
      <w:r>
        <w:rPr>
          <w:rStyle w:val="VerbatimChar"/>
        </w:rPr>
        <w:t>nomic\r\n         Perspectives 16(4): 185–205.\r\nBardhan, Pranab, and Dilip Mookherjee. 2000. “Capture and Governance at Local and National Levels.”\r\n         American Economic Review: Papers and Proceedings 90(2): 135–39\r\nBardhan, Pranab, and Dilip M</w:t>
      </w:r>
      <w:r>
        <w:rPr>
          <w:rStyle w:val="VerbatimChar"/>
        </w:rPr>
        <w:t xml:space="preserve">ookherjee.. 2006. “Pro-Poor Targeting and Accountability of Local\r\n         Governments in West Bengal.” Journal of Development Economics 79(2): 303–27.\r\nBates, Robert H. 1981. Markets and States in Tropical Africa: The Political Basis of Agricultural </w:t>
      </w:r>
      <w:r>
        <w:rPr>
          <w:rStyle w:val="VerbatimChar"/>
        </w:rPr>
        <w:t>Policies.\r\n         Berkeley, California: University of California Press.\r\nBanuri, Sheheryar, and Philip Keefer. 2016. “Pro-Social Motivation, Effort and the Call to Public\r\n         Service.” European Economic Review 83: 139–64.\r\nBauhr, Monika. 20</w:t>
      </w:r>
      <w:r>
        <w:rPr>
          <w:rStyle w:val="VerbatimChar"/>
        </w:rPr>
        <w:t xml:space="preserve">17. “Need or Greed? Conditions for Collective Action against Corruption.”\r\n         Governance 30(4): 561–81.\r\nBauhr, Monika, and Nicholas Charron. 2018. “Insider or Outsider? Grand Corruption and </w:t>
      </w:r>
      <w:r>
        <w:rPr>
          <w:rStyle w:val="VerbatimChar"/>
        </w:rPr>
        <w:lastRenderedPageBreak/>
        <w:t>Electoral\r\n         Accountability.” Comparative Poli</w:t>
      </w:r>
      <w:r>
        <w:rPr>
          <w:rStyle w:val="VerbatimChar"/>
        </w:rPr>
        <w:t xml:space="preserve">tical Studies 51(4): 415–46.\r\nUSAID.GOV                                                    GOVERNANCE IN ARMENIA: AN EVIDENCE REVIEW      | 43\r\n"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[47] "Bauhr, Monika, </w:t>
      </w:r>
      <w:r>
        <w:rPr>
          <w:rStyle w:val="VerbatimChar"/>
        </w:rPr>
        <w:t xml:space="preserve">and Marcia Grimes. 2014. “Indignation or Resignation: The Implications of Transparency\r\n         for Societal Accountability.” Governance 27(2): 291–320.\r\nBeath, Andrew, Fotini Christia, and Ruben Enikolopov. 2017. “Direct Democracy and Resource\r\n   </w:t>
      </w:r>
      <w:r>
        <w:rPr>
          <w:rStyle w:val="VerbatimChar"/>
        </w:rPr>
        <w:t xml:space="preserve">      Allocation: Experimental Evidence from Afghanistan.” Journal of Development Economics 124: 199–\r\n         213.\r\nBehuria, Pritish, Lars Buur, and Hazel Gray. 2017. “Studying Political Settlements in Africa.” African Affairs\r\n         116(464): 5</w:t>
      </w:r>
      <w:r>
        <w:rPr>
          <w:rStyle w:val="VerbatimChar"/>
        </w:rPr>
        <w:t>08–25.\r\nBennet, Richard. 2011. Delivering on the Hope of the Rose Revolution: Public Sector Reform in Georgia, 2004–\r\n         2009. Innovations for Successful Sociceties, Princeton University. Princeton, New Jersey.\r\nBernauer, Thomas and Vally Koubi</w:t>
      </w:r>
      <w:r>
        <w:rPr>
          <w:rStyle w:val="VerbatimChar"/>
        </w:rPr>
        <w:t>. 2009. “Effects of Political Institutions on Air Quality.” Ecological\r\n         Economics 68(5):1355–1365.\r\nBersch, Katherine. 2016. “The Merits of Problem-Solving over Powering Governance Reforms in Brazil\r\n         and Argentina.” Comparative Poli</w:t>
      </w:r>
      <w:r>
        <w:rPr>
          <w:rStyle w:val="VerbatimChar"/>
        </w:rPr>
        <w:t>tics 48(2): 205–25.\r\nBersch, Katherine. 2019. When Democracies Deliver: Governance Reform in Latin America. Cambridge:\r\n         Cambridge University Press.\r\nBesley, Timothy, and Maitreesh Ghatak. 2018. “Prosocial Motivation and Incentives.” Annual R</w:t>
      </w:r>
      <w:r>
        <w:rPr>
          <w:rStyle w:val="VerbatimChar"/>
        </w:rPr>
        <w:t xml:space="preserve">eview of\r\n         Economics 10: 411–38.\r\nBesley, Timothy, Rohini Pande, and Vijayendra Rao. 2005. “Participatory Democracy in Action: Survey\r\n         Evidence from South India.” Journal of the European Economic Association 3(2): 648–57.\r\nBesley, </w:t>
      </w:r>
      <w:r>
        <w:rPr>
          <w:rStyle w:val="VerbatimChar"/>
        </w:rPr>
        <w:t xml:space="preserve">Timothy and Masayuki Kudamatsu. 2006. “Health and Democracy.” American Economic Review\r\n         96(2):313–318.\r\nBesley, Timothy, and Torsten Persson. 2011. Pillars of Prosperity: The Political Economics of Development\r\n         Clusters. Princeton, </w:t>
      </w:r>
      <w:r>
        <w:rPr>
          <w:rStyle w:val="VerbatimChar"/>
        </w:rPr>
        <w:t xml:space="preserve">New Jersey: Princeton University Press.\r\nBesley, Timothy and Torsten Persson. 2013. “Taxation and Development.” In Handbook of Public\r\n         Economics. Vol. 5 Elsevier B.V. pp. 51–110.\r\nBird, Richard M. and Michael Smart. 2002. “Intergovernmental </w:t>
      </w:r>
      <w:r>
        <w:rPr>
          <w:rStyle w:val="VerbatimChar"/>
        </w:rPr>
        <w:t xml:space="preserve">Fiscal Transfers: International Lessons for\r\n         Developing Countries.” World Development 30(6):899–912.\r\nBizzarro, Fernando, John Gerring, Carl Henrik Knutsen, Allen Hicken, Michael Bernhard, Svend Erik\r\n         Skaaning, Michael Coppedge and </w:t>
      </w:r>
      <w:r>
        <w:rPr>
          <w:rStyle w:val="VerbatimChar"/>
        </w:rPr>
        <w:t>Staffan I. Lindberg. 2018. “Party Strength and Economic\r\n         Growth.” World Politics 70(2):275–320.\r\nBjörkman, Martina, and Jakob Svensson. 2009. “Power to the People: Evidence from a Randomized Field\r\n         Experiment on Community-Based Moni</w:t>
      </w:r>
      <w:r>
        <w:rPr>
          <w:rStyle w:val="VerbatimChar"/>
        </w:rPr>
        <w:t xml:space="preserve">toring in Uganda.” Quarterly Journal of Economics 124(2):\r\n         735–69.\r\nUSAID.GOV                                                 GOVERNANCE IN ARMENIA: AN EVIDENCE REVIEW      |  44\r\n"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[48] "Björkman, Martina, and Jakob Svensson. 2010. “When Is Community-Based Monitoring Effective?\r\n    </w:t>
      </w:r>
      <w:r>
        <w:rPr>
          <w:rStyle w:val="VerbatimChar"/>
        </w:rPr>
        <w:t xml:space="preserve">     Evidence from a Randomized Experiment in Primary Health in Uganda.” Journal of the European\r\n         Economic Association 8(2/3): 571–81.\r\nBjörkman, Martina, Damien de Walque, and Jakob Svensson. 2017. “Experimental Evidence on the Long-\r\n     </w:t>
      </w:r>
      <w:r>
        <w:rPr>
          <w:rStyle w:val="VerbatimChar"/>
        </w:rPr>
        <w:t xml:space="preserve">    Run Impact of Community-Based Monitoring.” American Economic Journal: Applied Economics 9(1):\r\n         33–69.\r\nBlaydes, Lisa and Mark Andreas Kayser. 2011. “Counting Calories: Democracy and Distribution in the\r\n         Developing World.” Intern</w:t>
      </w:r>
      <w:r>
        <w:rPr>
          <w:rStyle w:val="VerbatimChar"/>
        </w:rPr>
        <w:t xml:space="preserve">ational Studies Quarterly 55:887–908.\r\nBlom-Hansen, Jens, </w:t>
      </w:r>
      <w:r>
        <w:rPr>
          <w:rStyle w:val="VerbatimChar"/>
        </w:rPr>
        <w:lastRenderedPageBreak/>
        <w:t>Kurt Houlberg, Søren Serritzlew, and Daniel Treisman. 2016. “Jurisdiction Size and\r\n         Local Government Policy Expenditure: Assessing the Effect of Municipal Amalgamation.”\r\n         Ame</w:t>
      </w:r>
      <w:r>
        <w:rPr>
          <w:rStyle w:val="VerbatimChar"/>
        </w:rPr>
        <w:t>rican Political Science Review 110(04): 812–31.\r\nBobonis, Gustavo J., Luis R. Ca´mara Fuertes and Rainer Schwabe. 2016. “Monitoring Corruptible\r\n         Politicians.” American Economic Review 106(8):2371–2405.\r\nBoffa, Federico, Amedeo Piolatto and G</w:t>
      </w:r>
      <w:r>
        <w:rPr>
          <w:rStyle w:val="VerbatimChar"/>
        </w:rPr>
        <w:t>iacomo Ponzetto. 2016. “Political Centralization and\r\n         Government Accountability.” Quarterly Journal of Economics 130(2):381–422.\r\nBrinkerhoff, Derick W., Anna Wetterberg, and Erik Wibbels. 2018. “Distance, Services, and Citizen\r\n         Per</w:t>
      </w:r>
      <w:r>
        <w:rPr>
          <w:rStyle w:val="VerbatimChar"/>
        </w:rPr>
        <w:t>ceptions of the State in Rural Africa.” Governance 31(1): 103–24.\r\nBrinks, Daniel, Marcelo Leiras and Scott Mainwaring, eds. 2014. Reflections on Uneven Democracies: The\r\n         Legacy of Guillermo O’Donnell. Baltimore, Maryland: Johns Hopkins Univer</w:t>
      </w:r>
      <w:r>
        <w:rPr>
          <w:rStyle w:val="VerbatimChar"/>
        </w:rPr>
        <w:t>sity Press.\r\nBrollo, Fernanda, Tommaso Nannicini, Roberto Perotti and Guido Tabellini. 2013. “The Political\r\n         Resource Curse.” American Economic Review 103(5):1759–1796.\r\nBueno de Mesquita, Bruce, Alastair Smith, Randolph M. Siverson and Jame</w:t>
      </w:r>
      <w:r>
        <w:rPr>
          <w:rStyle w:val="VerbatimChar"/>
        </w:rPr>
        <w:t>s D. Morrow. 2003. The Logic\r\n         of Political Survival. Cambridge: Cambridge University Press.\r\nBuntaine, Mark T., Ryan S. Jablonski, Daniel L. Nielson and Paula M. Pickering. 2018. “SMS Texts on\r\n         Corruption Help Ugandan Voters Hold El</w:t>
      </w:r>
      <w:r>
        <w:rPr>
          <w:rStyle w:val="VerbatimChar"/>
        </w:rPr>
        <w:t xml:space="preserve">ected Councillors Accountable at the Polls.” Proceedings\r\n         of the National Academy of Sciences 115(26):6668–6673.\r\nBurgess, Robin et al. 2015. “The Value of Democracy: Evidence from Road Building in Kenya.” American\r\n         Economic Review </w:t>
      </w:r>
      <w:r>
        <w:rPr>
          <w:rStyle w:val="VerbatimChar"/>
        </w:rPr>
        <w:t>105(6): 1817–51.\r\nBurgess, Robin, Remi Jedwab, Edward Miguel, Ameet Morjaria and Gerard Padro´ i Miquel. 2015. “The Value\r\n         of Democracy: Evidence from Road Building in Kenya.” American Economic Review 105(6):1817–\r\n         1851.\r\nCai, Hon</w:t>
      </w:r>
      <w:r>
        <w:rPr>
          <w:rStyle w:val="VerbatimChar"/>
        </w:rPr>
        <w:t xml:space="preserve">gbin, and Daniel Treisman. 2004. “State Corroding Federalism.” Journal of Public Economics 88(3–\r\n         4): 819–43.\r\nUSAID.GOV                                                    GOVERNANCE IN ARMENIA: AN EVIDENCE REVIEW | 45\r\n"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[49] "Cao, Xun and Hugh Ward. 2015. “Winning Coalition Size, State Capacity, and Time Horizons: An\r\n         Application of Modified Selectorate Theory to Environmental Public Goods Provision.”\r\n         International Studies Quarterly 59(2):264–279</w:t>
      </w:r>
      <w:r>
        <w:rPr>
          <w:rStyle w:val="VerbatimChar"/>
        </w:rPr>
        <w:t>.\r\nCapoccia, Giovanni. 2016. “When Do Institutions ‘Bite’? Historical Institutionalism and the Politics of\r\n      Institutional Change.” Comparative Political Studies 49(8): 1095–1127.\r\nCapoccia, Giovanni, and R. Daniel Kelemen. 2007. “The Study of C</w:t>
      </w:r>
      <w:r>
        <w:rPr>
          <w:rStyle w:val="VerbatimChar"/>
        </w:rPr>
        <w:t>ritical Junctures: Theory, Narrative,\r\n         and Counterfactuals in Historical Institutionalism.” World Politics 1(3): 341–69.\r\nCarey, John M. and Matthew Soberg Shugart. 1995. “Incentives to Cultivate a Personal Vote: A Rank\r\n         Ordering of</w:t>
      </w:r>
      <w:r>
        <w:rPr>
          <w:rStyle w:val="VerbatimChar"/>
        </w:rPr>
        <w:t xml:space="preserve"> Electoral Formulas.” Electoral Studies 14(4):417–439.\r\nCasey, Katherine. 2018. “Radical Decentralization: Does Community Driven Development Work?” Annual\r\n         Review of Economics 10:139–163.\r\nChang, Eric C. C. and Miriam A. Golden. 2007. “Elect</w:t>
      </w:r>
      <w:r>
        <w:rPr>
          <w:rStyle w:val="VerbatimChar"/>
        </w:rPr>
        <w:t>oral Systems, District Magnitude, and Corruption.”\r\n         British Journal of Political Science 37(December 2006):115.\r\nCharron, Nicholas, Carl Dahlström, Mihály Fazekas, and Victor Lapuente. 2017. “Careers, Connections,\r\n         and Corruption Ri</w:t>
      </w:r>
      <w:r>
        <w:rPr>
          <w:rStyle w:val="VerbatimChar"/>
        </w:rPr>
        <w:t xml:space="preserve">sks: Investigating the Impact of Bureaucratic Meritocracy on Public\r\n         Procurement Processes.” Journal of Politics 79(1): 89–104.\r\nChase, Robert S., and Julien Labonne. </w:t>
      </w:r>
      <w:r>
        <w:rPr>
          <w:rStyle w:val="VerbatimChar"/>
        </w:rPr>
        <w:lastRenderedPageBreak/>
        <w:t>2011. “Does Community-Driven Development Enhance Social\r\n         Capital?</w:t>
      </w:r>
      <w:r>
        <w:rPr>
          <w:rStyle w:val="VerbatimChar"/>
        </w:rPr>
        <w:t xml:space="preserve"> Evidence from the Philippines.” Journal of Development Economics 96(2011): 348–58.\r\nCheibub, José Antonio, Zachary Elkins, and Tom Ginsburg. 2014. “Beyond Presidentialism and\r\n         Parliamentarism.” British Journal of Political Science 44(03): 515</w:t>
      </w:r>
      <w:r>
        <w:rPr>
          <w:rStyle w:val="VerbatimChar"/>
        </w:rPr>
        <w:t>–44.\r\nCheskin, Ammon, and Angela Kachuyevski. 2018. \"The Russian-Speaking Populations in the Post-Soviet\r\n         Space: Language, Politics and Identity.\" (2018): 1-23.\r\nCheung, Hoi Yan and Alex W. H. Chan. 2008. “Corruption across Countries: Impa</w:t>
      </w:r>
      <w:r>
        <w:rPr>
          <w:rStyle w:val="VerbatimChar"/>
        </w:rPr>
        <w:t>cts from Education and\r\n         Cultural Dimensions.” Social Science Journal 45:223–239.\r\nChong, Alberto, Ana De La O, Dean Karlan, and Leonard Wantchekon. 2015. “Does Corruption\r\n         Information Inspire the Fight or Quash the Hope? A Field Exp</w:t>
      </w:r>
      <w:r>
        <w:rPr>
          <w:rStyle w:val="VerbatimChar"/>
        </w:rPr>
        <w:t>eriment in Mexico on Voter\r\n         Turnout.” Journal of Politics 29(1): 55–71.\r\nCoase, Ronald H. 1960. “The Problem of Social Cost.” Journal of Law and Economics 3(1): 1–44.\r\nCollier, David and Steven Levitsky. 1997. “Democracy with Adjectives: Con</w:t>
      </w:r>
      <w:r>
        <w:rPr>
          <w:rStyle w:val="VerbatimChar"/>
        </w:rPr>
        <w:t xml:space="preserve">ceptual Innovation in\r\n         Comparative Research.” World Politics 49(3):430–451.\r\nCoppedge, Michael, John Gerring, Carl Henrik Knutsen, Staffan I Lindberg, Svend-Erik Skaaning, Jan\r\n         Teorell, David Altman, Michael Bernhard, Agnes Cornell </w:t>
      </w:r>
      <w:r>
        <w:rPr>
          <w:rStyle w:val="VerbatimChar"/>
        </w:rPr>
        <w:t xml:space="preserve">and M Steven Fish. 2018. “V-Dem\r\n         Codebook v8.”.\r\nUSAID.GOV                                                     GOVERNANCE IN ARMENIA: AN EVIDENCE REVIEW | 46\r\n"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[50] "Copsey, Nathaniel. 2010. “Ukraine.” In The Colour Revolutions in the Former</w:t>
      </w:r>
      <w:r>
        <w:rPr>
          <w:rStyle w:val="VerbatimChar"/>
        </w:rPr>
        <w:t xml:space="preserve"> Soviet Republics, eds.\r\n         Donnacha Ó Beacháin and Abel Polese. New York: Routledge, 30–44.\r\nCruz, Cesi, and Philip Keefer. 2015. “Political Parties, Clientelism, and Bureaucratic Reform.”\r\n      Comparative Political Studies 48(14): 1942–73.\</w:t>
      </w:r>
      <w:r>
        <w:rPr>
          <w:rStyle w:val="VerbatimChar"/>
        </w:rPr>
        <w:t>r\nDahl, Robert Alan. 1973. Polyarchy: Participation and Opposition. Yale University Press.\r\nDal Bó, Ernesto, Frederico Finan, and Martín A. Rossi. 2013. “Strengthening State Capabilities: The Role\r\n         of Financial Incentives in the Call to Publi</w:t>
      </w:r>
      <w:r>
        <w:rPr>
          <w:rStyle w:val="VerbatimChar"/>
        </w:rPr>
        <w:t>c Service.” Quarterly Journal of Economics: 1169–1218.\r\nDee, Thomas S. 2004. “Are there Civic Returns to Education?” Journal of Public Economics 88(9-10):1697–\r\n         1720.\r\nDe La O, Ana. 2015. Crafting Policies to Policies to End Policies in Lati</w:t>
      </w:r>
      <w:r>
        <w:rPr>
          <w:rStyle w:val="VerbatimChar"/>
        </w:rPr>
        <w:t>n America: The Quiet Transformation.\r\n         New York: Cambridge University Press.\r\nDevlin, Matthew. 2009. Seizing the Reform Moment: Rebuilding Georgia’s Police, 2004-2006. Innovations for\r\n         Successful Societies, Princeton University. Prin</w:t>
      </w:r>
      <w:r>
        <w:rPr>
          <w:rStyle w:val="VerbatimChar"/>
        </w:rPr>
        <w:t>ceton, New Jersey.\r\nDhaliwal, Iqbal, and Rema Hanna. 2017. “The Devil Is in the Details: The Successes and Limitations of\r\n         Bureaucratic Reform in India.” Journal of Development Economics 124: 1–21.\r\nDi Puppo, Lili. 2010. “Anti-Corruption Int</w:t>
      </w:r>
      <w:r>
        <w:rPr>
          <w:rStyle w:val="VerbatimChar"/>
        </w:rPr>
        <w:t>erventions in Georgia.” Global Crime 11(2):220– 236.\r\nDi Tella, Rafael and Ernesto Schargrodsky. 2003. “The Role of Wages and Auditing during a Crackdown on\r\n         Corruption in the City of Buenos Aires.” Journal of Law and Economics 46(1):269–292.\</w:t>
      </w:r>
      <w:r>
        <w:rPr>
          <w:rStyle w:val="VerbatimChar"/>
        </w:rPr>
        <w:t>r\nDiamond, Larry, Francis Fukuyama, Donald L. Horowitz and Marc F. Plattner. 2014. “Re-considering the\r\n         Transition Paradigm.” Journal of Democracy 25(1):86–100.\r\nDíaz-Cayeros, Alberto. 2006. Federalism, Fiscal Authority, and Centralization in</w:t>
      </w:r>
      <w:r>
        <w:rPr>
          <w:rStyle w:val="VerbatimChar"/>
        </w:rPr>
        <w:t xml:space="preserve"> Latin America. New York:\r\n         Cambridge University Press.\r\nDixit, Avinash. 2018. Anti-Corruption Institutions: Some History and Theory. In Institutions, Governance,\r\n         and the Control of Corruption, ed. Kaushik Basu and Tito Cordella. Ch</w:t>
      </w:r>
      <w:r>
        <w:rPr>
          <w:rStyle w:val="VerbatimChar"/>
        </w:rPr>
        <w:t xml:space="preserve">am, Switzerland: </w:t>
      </w:r>
      <w:r>
        <w:rPr>
          <w:rStyle w:val="VerbatimChar"/>
        </w:rPr>
        <w:lastRenderedPageBreak/>
        <w:t>Palgrave\r\n         Macmillan chapter 2, pp. 15–50.\r\nDizon-Ross, Rebecca, Pascaline Dupas, and Jonathan Robinson. 2017. “Governance and the Effectiveness\r\n      of Public Health Subsidies: Evidence from Ghana, Kenya and Uganda.” Journ</w:t>
      </w:r>
      <w:r>
        <w:rPr>
          <w:rStyle w:val="VerbatimChar"/>
        </w:rPr>
        <w:t>al of Public Economics\r\n      156: 150–69.\r\nDollar, David, and Jakob Svensson. 2000. “What Explains the Success or Failure of Structural Adjustment\r\n      Programmes?” Economic Journal 110(466): 894–917.\r\nDonaldson, Dave, and Adam Storeygard. 2016.</w:t>
      </w:r>
      <w:r>
        <w:rPr>
          <w:rStyle w:val="VerbatimChar"/>
        </w:rPr>
        <w:t xml:space="preserve"> “The View from Above: Applications of Satellite Data in\r\n         Economics.” Journal of Economic Perspectives 30(4): 171–98.\r\nUSAID.GOV                                                    GOVERNANCE IN ARMENIA: AN EVIDENCE REVIEW      | 47\r\n"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[51] "Drozd, Oleksiy Yriyovych. 2017. “Civil Service Pattern in Germany and Ukraine: A Comparative\r\n          Aspect.” Journal of Advanced Research in Law and Econ</w:t>
      </w:r>
      <w:r>
        <w:rPr>
          <w:rStyle w:val="VerbatimChar"/>
        </w:rPr>
        <w:t>omics VIII(5(27)): 1503–7.\r\nDuflo, Esther, and Rohini Pande. 2007. “Dams.” Quarterly Journal of Economics 122(2): 601–46.\r\nDuflo, Esther, Rema Hanna and Stephen P. Ryan. 2012. “Incentives Work: Getting Teachers to Come to\r\n          School.” American</w:t>
      </w:r>
      <w:r>
        <w:rPr>
          <w:rStyle w:val="VerbatimChar"/>
        </w:rPr>
        <w:t xml:space="preserve"> Economic Review 102(4):1241–1278.\r\nEasterly, William. 2006. The White Man’s Burden: Why the West’s Efforts to Aid the Rest Have Done So Much\r\n      Ill and So Little Good. New York: Penguin Books.\r\nEasterly, William, and Ross Levine. 2016. “European</w:t>
      </w:r>
      <w:r>
        <w:rPr>
          <w:rStyle w:val="VerbatimChar"/>
        </w:rPr>
        <w:t xml:space="preserve"> Origins of Economic Development.” Journal of\r\n          Economic Growth 21(2): 225–57.\r\nEasterly, William, Jozef Ritzen, and Michael Woolcock. 2006. “Social Cohesion, Institutions, and\r\n          Growth.” Economics and Politics 18(2): 103–20.\r\nEBR</w:t>
      </w:r>
      <w:r>
        <w:rPr>
          <w:rStyle w:val="VerbatimChar"/>
        </w:rPr>
        <w:t>D. 2016. Life in Transition Survey. European Bank for Reconstruction and Development.\r\nEscaleras, Monica, Shu Lin and Charles Register. 2010. “Freedom of Information Acts and Public Sector\r\n          Corruption.” Public Choice 145(3):435–460.\r\nEvans,</w:t>
      </w:r>
      <w:r>
        <w:rPr>
          <w:rStyle w:val="VerbatimChar"/>
        </w:rPr>
        <w:t xml:space="preserve"> Peter. 1995. Embedded Autonomy: States and Industrial Transformation. Princeton, New Jersey: Princeton\r\n          University Press.\r\nEvans, Peter and James E. Rauch. 1999. “Bureaucracy and Growth: A Cross-National Analysis of the\r\n          Effects </w:t>
      </w:r>
      <w:r>
        <w:rPr>
          <w:rStyle w:val="VerbatimChar"/>
        </w:rPr>
        <w:t>of “Weberian” State Structures on Economic Growth.” American Sociological Review\r\n          64(5):748–765.\r\nEvans, Peter, Evelyne Huber, and John D. Stephens. 2017. The Political Foundations of State\r\n          Effectiveness. In States in the Develop</w:t>
      </w:r>
      <w:r>
        <w:rPr>
          <w:rStyle w:val="VerbatimChar"/>
        </w:rPr>
        <w:t>ing World, eds. Miguel Angel Centeno, Atul Kohli, and\r\n          Deborah Yashar. New York: Cambridge University Press, 382–409.\r\nFalkowski, Maciej. 2016. “From Apathy to Nationalist Mobilisation: Politics Makes a Come- back in\r\n          Armenia.” OS</w:t>
      </w:r>
      <w:r>
        <w:rPr>
          <w:rStyle w:val="VerbatimChar"/>
        </w:rPr>
        <w:t>W Commentary (215):1–8.\r\nFerraz, Claudio and Frederico Finan. 2008. “Exposing Corrupt Politicians: The Effects of Brazil’s Publicly\r\n          Released Audits on Electoral Outcomes.” Quarterly Journal of Economics 123(2):703–745.\r\nFerraz, Claudio and</w:t>
      </w:r>
      <w:r>
        <w:rPr>
          <w:rStyle w:val="VerbatimChar"/>
        </w:rPr>
        <w:t xml:space="preserve"> Frederico Finan. 2011. “Electoral Accountability and Corruption: Evidence from the\r\n          Audits of Local Governments.” American Economic Review 101(4):1274– 1311.\r\nFerraz, Claudio and Frederico Finan. 2018. Fighting Political Corruption: Evidence</w:t>
      </w:r>
      <w:r>
        <w:rPr>
          <w:rStyle w:val="VerbatimChar"/>
        </w:rPr>
        <w:t xml:space="preserve"> from Brazil. In\r\n          Institutions, Governance, and the Control of Corruption, ed. Kaushik Basu and Tito Cordella. Cham,\r\n          Switzerland: Palgrave Macmillan chapter 9, pp. 253–284.\r\nUSAID.GOV                                              </w:t>
      </w:r>
      <w:r>
        <w:rPr>
          <w:rStyle w:val="VerbatimChar"/>
        </w:rPr>
        <w:t xml:space="preserve">           GOVERNANCE IN ARMENIA: AN EVIDENCE REVIEW  | 48\r\n"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[52] "Finan, Frederico, Benjamin A. Olken and Rohini Pande. 2017. The Personnel Economics of the\r\n         Developing State. In Handbook of Field </w:t>
      </w:r>
      <w:r>
        <w:rPr>
          <w:rStyle w:val="VerbatimChar"/>
        </w:rPr>
        <w:lastRenderedPageBreak/>
        <w:t>Experiments, ed. Abhijit V. Banerjee and Esther Duflo. Vol. 2\r\n         Amsterdam: Elsevier chapter</w:t>
      </w:r>
      <w:r>
        <w:rPr>
          <w:rStyle w:val="VerbatimChar"/>
        </w:rPr>
        <w:t xml:space="preserve"> 6, pp. 467–514.\r\nFish, M. Steven. 2006. “Stronger Legislatures, Stronger Democracies.” Journal of Democracy 17(1):5–20.\r\nFisman, Raymond, and Miriam A. Golden. 2017. Corruption: What You Need to Know. Oxford: Oxford\r\n         University Press.\r\nFi</w:t>
      </w:r>
      <w:r>
        <w:rPr>
          <w:rStyle w:val="VerbatimChar"/>
        </w:rPr>
        <w:t>sman, Raymond, Florian Schulz and Vikrant Vig. 2014. “The Private Returns to Public Office.” Journal of\r\n         Political Economy 122(4):806–862.\r\nFox, Jonathan A. 1994. “The Difficult Transition from Clientelism to Citizenship: Lessons from Mexico.”</w:t>
      </w:r>
      <w:r>
        <w:rPr>
          <w:rStyle w:val="VerbatimChar"/>
        </w:rPr>
        <w:t>\r\n         World Politics 46(02): 151–84.\r\nFox, Jonathan. 2015. “Social Accountability: What Does the Evidence Really Say?” World Development 72:\r\n         346–61\r\nFrisk Jensen, Mette. 2018. The Building of the Scandinavian States: Establishing Web</w:t>
      </w:r>
      <w:r>
        <w:rPr>
          <w:rStyle w:val="VerbatimChar"/>
        </w:rPr>
        <w:t xml:space="preserve">erian Bureaucracy\r\n         and Curbing Corruption from the Mid-Seventeenth to the End of the Nineteenth Century. In\r\n         Bureaucracy and Society in Transition: Comparative Perspectives. Emerald Publishing pp. 179–203.\r\nFukuyama, Francis. 2004. </w:t>
      </w:r>
      <w:r>
        <w:rPr>
          <w:rStyle w:val="VerbatimChar"/>
        </w:rPr>
        <w:t>State-Building: Governance and World Order in the 21st Century. Ithaca, New York: Cornell\r\n         University Press.\r\nFukuyama, Francis. 2011. The Origins of Political Order: Prehuman Times to the French Revolution. New York:\r\n         Farrar, Strau</w:t>
      </w:r>
      <w:r>
        <w:rPr>
          <w:rStyle w:val="VerbatimChar"/>
        </w:rPr>
        <w:t>s and Giroux.\r\nFukuyama, Francis. 2013. “What is Governance?” Governance 26(3):347–368.\r\nFukuyama, Francis. 2014. Political Order and Political Decay: From the Industrial Revolution to the Globalization\r\n      of Democracy. New York: Farrar, Straus a</w:t>
      </w:r>
      <w:r>
        <w:rPr>
          <w:rStyle w:val="VerbatimChar"/>
        </w:rPr>
        <w:t>nd Giroux.\r\nFukuyama, Francis. 2016. “Governance: What Do We Know, and How Do We Know It?” Annual Review\r\n         of Political Science 19(1):89–105.\r\nGehlbach, Scott and Alberto Simpser. 2015. “Electoral Manipulation as Bureaucratic Control.” Americ</w:t>
      </w:r>
      <w:r>
        <w:rPr>
          <w:rStyle w:val="VerbatimChar"/>
        </w:rPr>
        <w:t>an\r\n         Journal of Political Science 59(1):212–224.\r\nGehlbach, Scott and Philip Keefer. 2011. “Investment Without Democracy: Ruling-Party\r\n         Institutionalization and Credible Commitment in Autocracies.” Journal of Comparative Economics\r\</w:t>
      </w:r>
      <w:r>
        <w:rPr>
          <w:rStyle w:val="VerbatimChar"/>
        </w:rPr>
        <w:t>n         39(2):123–139.\r\nGelman, Andrew, and John B. Carlin. 2017. “Some Natural Solutions to the P-Value Communication\r\n         Problem—and Why They Won’t Work.” Journal of the American Statistical Association 112(519):\r\n         899–901.\r\nUSAID</w:t>
      </w:r>
      <w:r>
        <w:rPr>
          <w:rStyle w:val="VerbatimChar"/>
        </w:rPr>
        <w:t xml:space="preserve">.GOV                                                         GOVERNANCE IN ARMENIA: AN EVIDENCE REVIEW  |  49\r\n"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[53] "Gerring, John and Strom C. Thacker. 2004. “Political Institutions and C</w:t>
      </w:r>
      <w:r>
        <w:rPr>
          <w:rStyle w:val="VerbatimChar"/>
        </w:rPr>
        <w:t>orruption: The Role of Unitarism\r\n         and Parliamentarism.” British Journal of Political Science 34(2004):295–330.\r\nGerring, John and Strom C. Thacker. 2008. A Centripetal Theory of Democratic Governance. Cambridge: Cambridge\r\n         Universit</w:t>
      </w:r>
      <w:r>
        <w:rPr>
          <w:rStyle w:val="VerbatimChar"/>
        </w:rPr>
        <w:t>y Press.\r\nGerring, John and Wouten Veenendaal. 2019. Scale Effects: The Impact of Population on Politics. Cambridge:\r\n         Cambridge University Press.\r\nGingerich, Daniel W. 2013. Political Institutions and Party-Directed Corruption in South Ameri</w:t>
      </w:r>
      <w:r>
        <w:rPr>
          <w:rStyle w:val="VerbatimChar"/>
        </w:rPr>
        <w:t>ca: Stealing for the\r\n         Team. New York: Cambridge University Press.\r\nGiragosian, Richard. 12 August 2015. \"Soft Power in Armenia: Neither Soft, Nor Powerful.\" European\r\n         Council on Foreign Relations Wider Europe Forum.\r\nGiragosian,</w:t>
      </w:r>
      <w:r>
        <w:rPr>
          <w:rStyle w:val="VerbatimChar"/>
        </w:rPr>
        <w:t xml:space="preserve"> Richard, \"Armenian-Russian Relations: Diminishing Returns.\" 16 October 2017. Heinrich\r\n         Boell Stiftung, South Caucasus.\r\nGlaeser, Edward L. and Claudia Goldin. 2007. Corruption and Reform: Lessons from America’s Economic History.\r\n        </w:t>
      </w:r>
      <w:r>
        <w:rPr>
          <w:rStyle w:val="VerbatimChar"/>
        </w:rPr>
        <w:t xml:space="preserve"> Chicago: University of Chicago Press.\r\nGlaeser, Edward L., Rafael La Porta, </w:t>
      </w:r>
      <w:r>
        <w:rPr>
          <w:rStyle w:val="VerbatimChar"/>
        </w:rPr>
        <w:lastRenderedPageBreak/>
        <w:t>Florencio Lopez-de Silanes and Andrei Shleifer. 2004. “Do Institutions\r\n         Cause Growth?” Journal of Economic Growth 9(3):271–303.\r\nGrigoryan, Stepan, and Hasmik Grigo</w:t>
      </w:r>
      <w:r>
        <w:rPr>
          <w:rStyle w:val="VerbatimChar"/>
        </w:rPr>
        <w:t>ryan. 2017. Transparency and Rule of Law as Key Priorities for\r\n         Armenia. In Eastern Voices: Europe’s East Faces an Unsettled West, eds. Daniel Hamilton and Stefan\r\n         Meister. Washington, DC: Center for Strategic and International Studie</w:t>
      </w:r>
      <w:r>
        <w:rPr>
          <w:rStyle w:val="VerbatimChar"/>
        </w:rPr>
        <w:t>s, 151–64.\r\nGrossman, Guy, Melina R. Platas, and Jonathan Rodden. 2018. “Crowdsourcing Accountability: ICT for\r\n         Service Delivery.” World Development 112: 74–87.\r\nGoetz, Elias. 2017. “Putin, the State, and War: The Causes of Russia’s Near Abr</w:t>
      </w:r>
      <w:r>
        <w:rPr>
          <w:rStyle w:val="VerbatimChar"/>
        </w:rPr>
        <w:t>oad Assertion\r\n         Revisited.” International Studies Review (2017) 19, 228–253\r\nGreene, Kenneth F. 2007. Why Dominant Parties Lose: Mexico’s Democratization in Comparative Perspective.\r\n         New York: Cambridge University Press.\r\nGrigoryan</w:t>
      </w:r>
      <w:r>
        <w:rPr>
          <w:rStyle w:val="VerbatimChar"/>
        </w:rPr>
        <w:t>, Stepan, and Hasmik Grigoryan. 2017. “Transparency and Rule of Law as Key Priorities for\r\n         Armenia.” In Eastern Voices: Europe’s East Faces an Unsettled West, eds. Daniel Hamilton and\r\n         Stefan Meister. Washington, DC: Center for Strate</w:t>
      </w:r>
      <w:r>
        <w:rPr>
          <w:rStyle w:val="VerbatimChar"/>
        </w:rPr>
        <w:t>gic and International Studies, 151–64.\r\nGrillos, Tara. 2017. “Participatory Budgeting and the Poor: Tracing Bias in a Multi-Staged Process in\r\n         Solo, Indonesia.” World Development 96: 343–58.\r\nGrindle, Merilee S. 2012. Jobs for the Boys: Patr</w:t>
      </w:r>
      <w:r>
        <w:rPr>
          <w:rStyle w:val="VerbatimChar"/>
        </w:rPr>
        <w:t xml:space="preserve">onage and the State in Comparative Perspective. Cambridge,\r\n         Massachusetts: Harvard University Press.\r\nUSAID.GOV                                                     GOVERNANCE IN ARMENIA: AN EVIDENCE REVIEW          | 50\r\n"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[54] "Gross, Neil and William Martin. 1952. “On Group Cohesiveness.” American Journal of Sociology\r\n        57(6):546–564.\r\nGrossman, Guy and Kristin Micheli</w:t>
      </w:r>
      <w:r>
        <w:rPr>
          <w:rStyle w:val="VerbatimChar"/>
        </w:rPr>
        <w:t>tch. 2018. “Information Dissemination, Competitive Pressure, and\r\n        Politician Performance between Elections: A Field Experiment in Uganda.” American Political Science\r\n        Review pp. 1–22.\r\nGulzar, Saad, and Benjamin J. Pasquale. 2017. “Po</w:t>
      </w:r>
      <w:r>
        <w:rPr>
          <w:rStyle w:val="VerbatimChar"/>
        </w:rPr>
        <w:t>liticians, Bureaucrats, and Development: Evidence from\r\n        India.” American Political Science Review 111(1): 162–83.\r\nHabyarimana, James, Macartan Humphreys, Daniel N. Posner, and Jeremy M. Weinstein. 2007. “Why\r\n        Does Ethnic Diversity Un</w:t>
      </w:r>
      <w:r>
        <w:rPr>
          <w:rStyle w:val="VerbatimChar"/>
        </w:rPr>
        <w:t xml:space="preserve">dermine Public Goods Provision?” American Political Science Review\r\n        101(04): 709–25.\r\nHale, Henry E. 2015. Patronal Politics: Eurasian Regime Dynamics in Comparative Perspective. New York:\r\n        Cambridge University Press.\r\nHanna, Rema, </w:t>
      </w:r>
      <w:r>
        <w:rPr>
          <w:rStyle w:val="VerbatimChar"/>
        </w:rPr>
        <w:t>and Shing Yi Wang. 2017. “Dishonesty and Selection into Public Service: Evidence from\r\n        India.” American Economic Journal: Economic Policy 9(3): 262–90.\r\nHarding, Robin and David Stasavage. 2014. “What Democracy Does (and Doesn’t Do) for Basic S</w:t>
      </w:r>
      <w:r>
        <w:rPr>
          <w:rStyle w:val="VerbatimChar"/>
        </w:rPr>
        <w:t>ervices:\r\n        School Fees, School Inputs, and African Elections.” Journal of Politics 76(01):229–245.\r\nHasnain, Zahid, Nick Manning, and Jan H. Pierskalla. 2014. “The Promise of Performance Pay? Reasons\r\n        for Caution in Policy Prescription</w:t>
      </w:r>
      <w:r>
        <w:rPr>
          <w:rStyle w:val="VerbatimChar"/>
        </w:rPr>
        <w:t>s in the Core Civil Service.” World Bank Research\r\n        Observer 29(2): 235–64.\r\nHausmann, Ricardo, Dani Rodrik, and Andrés Velasco. 2008. “Growth Diagnostics.” In The Washington\r\n      Consensus Reconsidered: Towards a New Global Governance, eds.</w:t>
      </w:r>
      <w:r>
        <w:rPr>
          <w:rStyle w:val="VerbatimChar"/>
        </w:rPr>
        <w:t xml:space="preserve"> Narcis Serra and Joseph E. Stiglitz.\r\n      New York: Oxford University Press, 324–55.\r\nHerbst, Jeffrey. 2000. States and Power in Africa: Lessons in Authority and Control. Princeton, New Jersey:\r\n        Princeton University Press.\r\nHicken, Allen</w:t>
      </w:r>
      <w:r>
        <w:rPr>
          <w:rStyle w:val="VerbatimChar"/>
        </w:rPr>
        <w:t xml:space="preserve">, Ken Kollman and Joel W. Simmons. 2016. “Party System Nationalization and the Provision\r\n        of Public Health Services.” </w:t>
      </w:r>
      <w:r>
        <w:rPr>
          <w:rStyle w:val="VerbatimChar"/>
        </w:rPr>
        <w:lastRenderedPageBreak/>
        <w:t xml:space="preserve">Political Science Research and Methods 4(03):573–594.\r\nHidalgo, César A., Bailey Klinger, Albert-László Barabasi, and Ricardo </w:t>
      </w:r>
      <w:r>
        <w:rPr>
          <w:rStyle w:val="VerbatimChar"/>
        </w:rPr>
        <w:t>Hausmann. 2007. “The Product\r\n        Space Conditions the Development of Nations.” Science 73(1): 181–93.\r\nHollyer, James R., B. Peter Rosendorff and James Raymond Vreeland. 2018. Information, Democracy, and\r\n        Autocracy: Economic Transparency</w:t>
      </w:r>
      <w:r>
        <w:rPr>
          <w:rStyle w:val="VerbatimChar"/>
        </w:rPr>
        <w:t xml:space="preserve"> and Political (In)Stability. Cambridge: Cambridge University Press.\r\nHummel, Calla, John Gerring and Thomas Burt. 2018. “Do Political Finance Laws Reduce Corruption?”.\r\nHumphreys, Macartan, and Jeremy M. Weinstein. 2012. Policing Politicians: Citizen </w:t>
      </w:r>
      <w:r>
        <w:rPr>
          <w:rStyle w:val="VerbatimChar"/>
        </w:rPr>
        <w:t xml:space="preserve">Empowerment and\r\n        Political Accountability. Working Paper.\r\nUSAID.GOV                                                     GOVERNANCE IN ARMENIA: AN EVIDENCE REVIEW    | 51\r\n"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[55] "Hunter, Wendy, and Natasha Borges Sugiyama. 2014. “Transforming Subjects into Citizens: Insights from\r\n         Brazil’s Bolsa Família.” Perspectives on Politics 12(4): 829–45.\r\nHyde, Susan D. 2007. “The Observer Effect in Internationa</w:t>
      </w:r>
      <w:r>
        <w:rPr>
          <w:rStyle w:val="VerbatimChar"/>
        </w:rPr>
        <w:t>l Politics: Evidence from a Natural\r\n         Experiment.” World Politics 60(1):37–63.\r\nHyde, Susan D. 2011. “Catch Us If You Can: Election Monitoring and International Norm Diffusion.”\r\n         American Journal of Political Science 55(2):356–369.\r</w:t>
      </w:r>
      <w:r>
        <w:rPr>
          <w:rStyle w:val="VerbatimChar"/>
        </w:rPr>
        <w:t>\nImai, Kosuke, Gary King, and Carlos Velasco Rivera. 2019. “Do Nonpartisan Programmatic Policies Have\r\n         Partisan Electoral Effects? Evidence from Two Large Scale Experiments.” Journal of Politics.\r\nIskandaryan, Aleksandr. 2012. “Armenia Betwee</w:t>
      </w:r>
      <w:r>
        <w:rPr>
          <w:rStyle w:val="VerbatimChar"/>
        </w:rPr>
        <w:t xml:space="preserve">n Autocracy and Polyarchy.” Russian Politics and Law\r\n         50(4):23–36.\r\nIslam, Roumeen. 2006. “Does More Transparency Go Along with Better Governance?” Economics\r\n         and Politics 18(2):121–167.\r\nJackson, Nicole J. \"The Role of External </w:t>
      </w:r>
      <w:r>
        <w:rPr>
          <w:rStyle w:val="VerbatimChar"/>
        </w:rPr>
        <w:t xml:space="preserve">Factors in Advancing Non-Liberal Democratic Forms of Political\r\n         Rule: A Case Study of Russia's Influence on Central Asian Regimes.\" Contemporary Politics 16, no.\r\n         1 (2010): 101-118.\r\nJoshi, Anuradha. 2013. “Do They Work? Assessing </w:t>
      </w:r>
      <w:r>
        <w:rPr>
          <w:rStyle w:val="VerbatimChar"/>
        </w:rPr>
        <w:t>the Impact of Transparency and Accountability\r\n      Initiatives in Service Delivery.” Development Policy Review 31(S1): 29–48.\r\nKaufmann, Daniel, Aart Kraay, and Massimo Mastruzzi. 2015. “Worldwide Governance Indicators.”\r\nKeefer, Philip. 2007a. “Cl</w:t>
      </w:r>
      <w:r>
        <w:rPr>
          <w:rStyle w:val="VerbatimChar"/>
        </w:rPr>
        <w:t xml:space="preserve">ientelism, Credibility, and the Policy Choices of Young Democracies.” American\r\n         Journal of Political Science 51(4):804–821.\r\nKeefer, Philip. 2007b. The Poor Performance of Poor Democracies. In Oxford Handbook of Comparative Politics,\r\n      </w:t>
      </w:r>
      <w:r>
        <w:rPr>
          <w:rStyle w:val="VerbatimChar"/>
        </w:rPr>
        <w:t xml:space="preserve">   ed. Carles Boix and Susan C. Stokes. Oxford: chapter 36, pp. 886– 909.\r\nKeefer, Philip and Razvan Vlaicu. 2008. “Democracy, Credibility, and Clientelism.” Journal of Law, Economics,\r\n         and Organization 24(2):371–406.\r\nKeefer, Philip and Stu</w:t>
      </w:r>
      <w:r>
        <w:rPr>
          <w:rStyle w:val="VerbatimChar"/>
        </w:rPr>
        <w:t>ti Khemani. 2005. “Democracy, Public Expenditures, and the Poor: Understanding\r\n         Political Incentives for Providing Public Services.” World Bank Research Observer 20(1):1–27.\r\nKennedy, Ryan. 2010. “Moldova.” In The Colour Revolutions in the For</w:t>
      </w:r>
      <w:r>
        <w:rPr>
          <w:rStyle w:val="VerbatimChar"/>
        </w:rPr>
        <w:t>mer Soviet Republics, eds. Donnacha\r\n         Ó Beacháin and Abel Polese. New York: Routledge, 62–81.\r\nKhan, Adnan Q., Asim Ijaz Khwaja and Benjamin A. Olken. 2016. “Tax Farming Redux: Experimental\r\n         Evidence on Performance Pay for Tax Collec</w:t>
      </w:r>
      <w:r>
        <w:rPr>
          <w:rStyle w:val="VerbatimChar"/>
        </w:rPr>
        <w:t xml:space="preserve">tors.” Quarterly Journal of Economics pp. 219–271.\r\nKhan, Adnan, Asim Ijaz Khwaja, and Benjamin A. Olken. 2019. “Making Moves Matter: Experimental\r\n         Evidence on Incentivizing Bureaucrats Through Performance-Based Transfers.” American\r\n       </w:t>
      </w:r>
      <w:r>
        <w:rPr>
          <w:rStyle w:val="VerbatimChar"/>
        </w:rPr>
        <w:t xml:space="preserve">  Economic Review 109(1): 237–70.\r\nUSAID.GOV                                                     </w:t>
      </w:r>
      <w:r>
        <w:rPr>
          <w:rStyle w:val="VerbatimChar"/>
        </w:rPr>
        <w:lastRenderedPageBreak/>
        <w:t xml:space="preserve">GOVERNANCE IN ARMENIA: AN EVIDENCE REVIEW  |   52\r\n"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[56] "Khan, Mushtaq H. 2017. “Introduction: Political Settlements and the</w:t>
      </w:r>
      <w:r>
        <w:rPr>
          <w:rStyle w:val="VerbatimChar"/>
        </w:rPr>
        <w:t xml:space="preserve"> Analysis of Institutions.” African\r\n      Affairs 117(469): 636–55.\r\nKhemani, Stuti et al. 2016. Making Politics Work for Development: Harnessing Transparency and Citizen\r\n         Engagement. Washington, DC: World Bank.\r\nKingdon, John W. 1995. Ag</w:t>
      </w:r>
      <w:r>
        <w:rPr>
          <w:rStyle w:val="VerbatimChar"/>
        </w:rPr>
        <w:t>endas, Alternatives and Public Policies. Ann Arbor, Michigan: University of\r\n      Michigan Press.\r\nKiser, Edgar and Steven M. Karceski. 2017. “Political Economy of Taxation.” Annual Review of Political Science\r\n         20(1):75–92.\r\nKitschelt, He</w:t>
      </w:r>
      <w:r>
        <w:rPr>
          <w:rStyle w:val="VerbatimChar"/>
        </w:rPr>
        <w:t>rbert and Steven I. Wilkinson. 2007. Citizen-Politician Linkages: An Introduction. In Patrons,\r\n         Clients, and Policies: Patterns of Democratic Accountability and Political Competition, ed. Herbert Kitschelt\r\n         and Steven I. Wilkinson. Ne</w:t>
      </w:r>
      <w:r>
        <w:rPr>
          <w:rStyle w:val="VerbatimChar"/>
        </w:rPr>
        <w:t>w York: Cam- bridge University Press chapter 1, pp. 1–49.\r\nKlomp, Jeroen and Jakob de Haan. 2013. “Political Budget Cycles and Election Outcomes.” Public Choice\r\n         157(1-2):245–267.\r\nKosack, Stephen and Archon Fung. 2014. “Does Transparency Im</w:t>
      </w:r>
      <w:r>
        <w:rPr>
          <w:rStyle w:val="VerbatimChar"/>
        </w:rPr>
        <w:t>prove Governance?” Annual Review of\r\n         Political Science 17(1):65–87.\r\nKosec, Katrina, and Leonard Wantchekon. 2019. “Can Information Improve Rural Governance and\r\n         Service Delivery?” World Development 115.\r\nKudamatsu, Masayuki. 2012</w:t>
      </w:r>
      <w:r>
        <w:rPr>
          <w:rStyle w:val="VerbatimChar"/>
        </w:rPr>
        <w:t>. “Has Democratization Reduced Infant Mortality in Sub- Saharan Africa?\r\n         Evidence from Micro Data.” Journal of the European Economic Association 10(6):1294–1317.\r\nLabonne, Julien, and Robert S. Chase. 2009. “Who Is at the Wheel When Communitie</w:t>
      </w:r>
      <w:r>
        <w:rPr>
          <w:rStyle w:val="VerbatimChar"/>
        </w:rPr>
        <w:t>s Drive\r\n         Development? Evidence from the Philippines.” World Development 37(1): 219–31.\r\nLake, David A. and Matthew A. Baum. 2001. “The Invisible Hand of Democracy: Political Control and the\r\n         Provision of Public Services.” Comparativ</w:t>
      </w:r>
      <w:r>
        <w:rPr>
          <w:rStyle w:val="VerbatimChar"/>
        </w:rPr>
        <w:t>e Political Studies 34(6):587– 621.\r\nLessmann, Christian and Gunther Markwardt. 2010. “One Size Fits All? Decentralization, Corruption, and\r\n         the Monitoring of Bureaucrats.” World Development 38(4):631–646.\r\nLevitsky, Steven, and Lucan A. Way</w:t>
      </w:r>
      <w:r>
        <w:rPr>
          <w:rStyle w:val="VerbatimChar"/>
        </w:rPr>
        <w:t>. 2010. Competitive Authoritarianism: Hybrid Regimes after the Cold War.\r\n         New York: Cambridge University Press.\r\nLevitsky, Steven, and Daniel Ziblatt. 2018. How Democracies Die. New York: Crown.\r\nLevy, Brian. 2014. Working with the Grain: In</w:t>
      </w:r>
      <w:r>
        <w:rPr>
          <w:rStyle w:val="VerbatimChar"/>
        </w:rPr>
        <w:t>tegrating Governance and Growth in Development Strategies.\r\n      New York: Oxford University Press.\r\nLewis, David. 2010. Kyrgyzstan. In The Colour Revolutions in the Former Soviet Republics, eds. Donnacha Ó\r\n         Beacháin and Abel Polese. New Yo</w:t>
      </w:r>
      <w:r>
        <w:rPr>
          <w:rStyle w:val="VerbatimChar"/>
        </w:rPr>
        <w:t xml:space="preserve">rk: Routledge, 45–61.\r\nUSAID.GOV                                                      GOVERNANCE IN ARMENIA: AN EVIDENCE REVIEW         |  53\r\n"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[57] "Lewis, David. 2017. The Contested State in Post-Soviet Armenia. In The Logic of Weak States, ed. John\r\n         Heathershaw and Ed Schatz. Pittsburgh</w:t>
      </w:r>
      <w:r>
        <w:rPr>
          <w:rStyle w:val="VerbatimChar"/>
        </w:rPr>
        <w:t>, Pennsylvania: Pittsburgh University Press chapter 8, pp.\r\n         120–135.\r\nLewis-Faupel, Sean, Yusuf Neggers, Benjamin A. Olken and Rohini Pande. 2016. “Can Electronic\r\n         Procurement Improve Infrastructure Provision? Evidence from Public W</w:t>
      </w:r>
      <w:r>
        <w:rPr>
          <w:rStyle w:val="VerbatimChar"/>
        </w:rPr>
        <w:t>orks in India and\r\n         Indonesia.” American Economic Journal: Economic Policy 8(3):258–283.\r\nLieberman, Evan S. 2009. Boundaries of Contagion: How Ethnic Politics Have Shaped Government Responses to\r\n         AIDS. Princeton, New Jersey: Princet</w:t>
      </w:r>
      <w:r>
        <w:rPr>
          <w:rStyle w:val="VerbatimChar"/>
        </w:rPr>
        <w:t xml:space="preserve">on University Press.\r\nLieberman, Evan S. 2018. The Comparative Politics of Service Delivery in Developing Countries. In\r\n         Handbook on Politics in </w:t>
      </w:r>
      <w:r>
        <w:rPr>
          <w:rStyle w:val="VerbatimChar"/>
        </w:rPr>
        <w:lastRenderedPageBreak/>
        <w:t>Developing Countries, eds. Carol Lancaster and Nicolas van de Walle.\r\n         Oxford: Oxford Un</w:t>
      </w:r>
      <w:r>
        <w:rPr>
          <w:rStyle w:val="VerbatimChar"/>
        </w:rPr>
        <w:t>iversity Press.\r\nLight, Matthew. 2014. “Police Reforms in the Republic of Georgia: The Convergence of Domestic and\r\n         Foreign Policy in an Anti-Corruption Drive.” Policing and Society 24(3):318– 345.\r\nLindberg, Staffan I., Michael Coppedge, Jo</w:t>
      </w:r>
      <w:r>
        <w:rPr>
          <w:rStyle w:val="VerbatimChar"/>
        </w:rPr>
        <w:t xml:space="preserve">hn Gerring and Jan Teorell. 2014. “V-Dem: A New Way to\r\n         Measure Democracy.” Journal of Democracy 25(3):159–169.\r\nLindert, Kathy, Anja Linder, Jason Hobbs, and Bénédicte de la Brière. 2007. SP Discussion Paper The\r\n         Nuts and Bolts of </w:t>
      </w:r>
      <w:r>
        <w:rPr>
          <w:rStyle w:val="VerbatimChar"/>
        </w:rPr>
        <w:t xml:space="preserve">Brazil’s Bolsa Família Program: Implementing Conditional Cash Transfers in a\r\n         Decentralized Context. Washington, DC: World Bank.\r\nLinz, Juan J. 1990. “The Perils of Presidentialism Reconsidered.” Journal of Democracy 1(1):51–69.\r\nLinz, Juan </w:t>
      </w:r>
      <w:r>
        <w:rPr>
          <w:rStyle w:val="VerbatimChar"/>
        </w:rPr>
        <w:t xml:space="preserve">J. and Arturo Valenzuela, eds. 1994. The Failure of Presidential Democracy. Baltimore, Maryland:\r\n         Johns Hopkins University Press.\r\nLizzeri, Alessandro and Nicola Persico. 2004. “Why Did the Elites Extend the Suffrage? Democracy and\r\n        </w:t>
      </w:r>
      <w:r>
        <w:rPr>
          <w:rStyle w:val="VerbatimChar"/>
        </w:rPr>
        <w:t xml:space="preserve"> the Scope of Government, with an Application to Britain’ s Age of Reform.” Quarterly Journal of\r\n         Economics 119(2):707–765.\r\nLucas, Robert E. 2015. “Human Capital and Growth.” American Economic Review: Papers and Proceedings 105(5).\r\nLutsevy</w:t>
      </w:r>
      <w:r>
        <w:rPr>
          <w:rStyle w:val="VerbatimChar"/>
        </w:rPr>
        <w:t>ch, Orysia. 2013. How to Finish a Revolution: Civil Society and Democracy in Georgia, Moldova, and\r\n         Ukraine. London.\r\nMachin, Stephen, Olivier Marie and Suncica Vujic. 2011. “The Crime Reducing Effect of Education.”\r\n         Economic Journa</w:t>
      </w:r>
      <w:r>
        <w:rPr>
          <w:rStyle w:val="VerbatimChar"/>
        </w:rPr>
        <w:t>l 121(552):463–484.\r\nMagaloni, Beatriz. 2010. “The Game of Electoral Fraud and the Ousting of Authoritarian Rule.” American\r\n         Journal of Political Science 54(3):751–765.\r\nMann, Michael. 1984. “The Autonomous Power of the State: Its Origins, M</w:t>
      </w:r>
      <w:r>
        <w:rPr>
          <w:rStyle w:val="VerbatimChar"/>
        </w:rPr>
        <w:t xml:space="preserve">echanisms and Results.” Archives\r\n         europe´ennes de sociologie 25(1984):185–213.\r\nUSAID.GOV                                                    GOVERNANCE IN ARMENIA: AN EVIDENCE REVIEW  |  54\r\n"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[58] "Markarov, Alexander. 2016. Semi-Presidentialism in Armenia. In Semi-Presidentialism in the Caucasus and Central\r\n         Asia, ed. Robert Elgie and Sophia Moestrup. London: Palgrave Macmillan chapter 3.\r\nMauro, Paolo. 1995. “Corru</w:t>
      </w:r>
      <w:r>
        <w:rPr>
          <w:rStyle w:val="VerbatimChar"/>
        </w:rPr>
        <w:t>ption and Growth.” Quarterly Journal of Economics 110(3): 681–712.\r\nMcCargo, Duncan. 2015. “Transitional Justice and Its Discontents.” Journal of Democracy 26(2):5–20.\r\nMcMann, Kelly, Daniel Pemstein, Brigitte Seim, Jan Teorell and Staffan I. Lindberg.</w:t>
      </w:r>
      <w:r>
        <w:rPr>
          <w:rStyle w:val="VerbatimChar"/>
        </w:rPr>
        <w:t xml:space="preserve"> 2018. “A Measurement\r\n         Assessment Approach: Assessing The Varieties of Democracy Corruption Measures.” Working\r\n         Paper.\r\nMenaldo, Victor. 2016. The Institutions Curse: Natural Resources, Politics, and Development. Cambridge:\r\n     </w:t>
      </w:r>
      <w:r>
        <w:rPr>
          <w:rStyle w:val="VerbatimChar"/>
        </w:rPr>
        <w:t xml:space="preserve"> Cambridge University Press.\r\nMichalopoulos, Stelios, Alireza Naghavi, and Giovanni Prarolo. 2016. “Islam, Inequality and Pre-Industrial\r\n         Comparative Development.” Journal of Development Economics 120: 86–98.\r\nMiguel, Edward, and Mary Kay Gu</w:t>
      </w:r>
      <w:r>
        <w:rPr>
          <w:rStyle w:val="VerbatimChar"/>
        </w:rPr>
        <w:t xml:space="preserve">gerty. 2005. “Ethnic Diversity, Social Sanctions, and Public Goods in\r\n         Kenya.” Journal of Public Economics 89(11–12): 2325–68.\r\nMin, Brian. 2015. Power and the Vote: Elections and Electricity in the Developing World. New York: Cambridge\r\n   </w:t>
      </w:r>
      <w:r>
        <w:rPr>
          <w:rStyle w:val="VerbatimChar"/>
        </w:rPr>
        <w:t xml:space="preserve">      University Press.\r\nMitra, Saumya, Douglas Andrew, Gohar Gyulumyan, Paul Holden, Bart Kaminski, Yevgeny Kuznetsov and\r\n         Ekaterina Vashakmadze. 2007. The Caucasian Tiger: Sustaining Economic Growth in Armenia. Washington,\r\n         DC: Wo</w:t>
      </w:r>
      <w:r>
        <w:rPr>
          <w:rStyle w:val="VerbatimChar"/>
        </w:rPr>
        <w:t xml:space="preserve">rld Bank.\r\nMonroe, Burt L., and Amanda G. Rose. 2002. “Electoral Systems and </w:t>
      </w:r>
      <w:r>
        <w:rPr>
          <w:rStyle w:val="VerbatimChar"/>
        </w:rPr>
        <w:lastRenderedPageBreak/>
        <w:t xml:space="preserve">Unimagined Consequences:\r\n         Partisan Effects of Districted Proportional Representation.” American Journal of Political Science\r\n         46(1): 67–89.\r\nMookherjee, </w:t>
      </w:r>
      <w:r>
        <w:rPr>
          <w:rStyle w:val="VerbatimChar"/>
        </w:rPr>
        <w:t>Dilip. 2015. “Political Decentralization.” Annual Review of Economics 7:231– 249.\r\nMungiu-Pippidi, Alina. 2015. The Quest for Good Governance: How Societies Develop Control of Corruption.\r\n         New York: Cambridge University Press.\r\nMungiu-Pippid</w:t>
      </w:r>
      <w:r>
        <w:rPr>
          <w:rStyle w:val="VerbatimChar"/>
        </w:rPr>
        <w:t>i, Alina. 2016. “Learning from Virtuous Circles.” Journal of Democracy 27(1):95–109.\r\nMungiu-Pippidi, Alina, and Igor Munteanu. 2009. “Moldova’s Twitter Revolution.” Journal of Democracy\r\n         20(3): 136–42.\r\nMunteanu, Igor. 2018. “Moldova Should</w:t>
      </w:r>
      <w:r>
        <w:rPr>
          <w:rStyle w:val="VerbatimChar"/>
        </w:rPr>
        <w:t xml:space="preserve"> Reinvent Itself to Fight Corruption.” Emerging Europe: 1–5.\r\nMuralidharan, Karthik, Paul Niehaus and Sandip Sukhtankar. 2016. “Building State Capacity: Evidence\r\n         from Biometric Smartcards in India.” American Economic Review 106(10):2895–2929.</w:t>
      </w:r>
      <w:r>
        <w:rPr>
          <w:rStyle w:val="VerbatimChar"/>
        </w:rPr>
        <w:t xml:space="preserve">\r\nUSAID.GOV                                                      GOVERNANCE IN ARMENIA: AN EVIDENCE REVIEW   |  55\r\n"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[59] "Nemec, Juraj. 2014. “Comparative Analysis of Public Administrat</w:t>
      </w:r>
      <w:r>
        <w:rPr>
          <w:rStyle w:val="VerbatimChar"/>
        </w:rPr>
        <w:t>ion Reforms in Former Socialist\r\n        Countries of Central and Eastern Europe.” International Journal of Civil Service Reform and Practice\r\n        4(December 2014): 93–113.\r\nNemtsova, Anna. 2016. “The West Is About to Lose Moldova.” Foreign Polic</w:t>
      </w:r>
      <w:r>
        <w:rPr>
          <w:rStyle w:val="VerbatimChar"/>
        </w:rPr>
        <w:t>y.\r\nNooruddin, Irfan. 2009. “Good Governance.” APSA-CP Newsletter 20(2 (Summer 2009)):6.\r\nNorth, Douglass C. 1981. Structure and Change in Economic History. New York: W.W. Norton and\r\n      Company.\r\nNorth, Douglass C., John Joseph Wallis, and Barr</w:t>
      </w:r>
      <w:r>
        <w:rPr>
          <w:rStyle w:val="VerbatimChar"/>
        </w:rPr>
        <w:t>y R. Weingast. 2009. Violence and Social Orders: A\r\n      Conceptual Framework for Interpreting Recorded Human History. New York: Cambridge University\r\n      Press.\r\nOates, Wallace E. 2005. “Toward a Second-Generation Theory of Fiscal Federalism.” In</w:t>
      </w:r>
      <w:r>
        <w:rPr>
          <w:rStyle w:val="VerbatimChar"/>
        </w:rPr>
        <w:t>ternational Tax and\r\n        Public Finance 12(4):349–373.\r\nO’Donnell, Guillermo. 1998. “Horizontal Accountability in New Democracies.” Journal of Democracy\r\n        9(3): 1112–26.\r\nO’Donnell, Guillermo. 2004. “Why the Rule of Law Matters.” Journal</w:t>
      </w:r>
      <w:r>
        <w:rPr>
          <w:rStyle w:val="VerbatimChar"/>
        </w:rPr>
        <w:t xml:space="preserve"> of Democracy 15(4):32–46.\r\nO’Donnell, Guillermo and Philippe C. Schmitter. 1986. Transitions from Authoritarian Rule: Tentative\r\n        Conclusions about Uncertain Democracies. Baltimore, Maryland: Johns Hopkins University Press.\r\nOECD. 2018. Anti-</w:t>
      </w:r>
      <w:r>
        <w:rPr>
          <w:rStyle w:val="VerbatimChar"/>
        </w:rPr>
        <w:t>Corruption Reforms in Armenia: Fourth Round of Monitoring of the Istanbul Anti-\r\n        Corruption Action Plan. Technical Report July Organization for Economic Cooperation and\r\n        Development Paris: .\r\nOlken, Benjamin A. 2007. “Monitoring Corru</w:t>
      </w:r>
      <w:r>
        <w:rPr>
          <w:rStyle w:val="VerbatimChar"/>
        </w:rPr>
        <w:t>ption: Evidence from a Field Experiment in Indonesia.”\r\n        Journal of Political Economy 115(21):200–249.\r\nOlken, Benjamin A.. 2010. “Direct Democracy and Local Public Goods: Evidence from a Field\r\n        Experiment in Indonesia.” American Polit</w:t>
      </w:r>
      <w:r>
        <w:rPr>
          <w:rStyle w:val="VerbatimChar"/>
        </w:rPr>
        <w:t>ical Science Review 104(2): 243–67.\r\nOstrom, Elinor. 1990. Governing the Commons: The Evolution of Institutions for Collective Action. Cambridge:\r\n        Cambridge University Press.\r\nPandey, Priyanka. 2010. “Service Delivery and Corruption in Public</w:t>
      </w:r>
      <w:r>
        <w:rPr>
          <w:rStyle w:val="VerbatimChar"/>
        </w:rPr>
        <w:t xml:space="preserve"> Services: How Does History\r\n        Matter?” American Economic Journal: Applied Economics 2(3): 190–204.\r\nPande, Rohini. 2011. “Can Informed Voters Enforce Better Governance? Experiments in Low-Income\r\n        Democracies.” Annual Review of Economic</w:t>
      </w:r>
      <w:r>
        <w:rPr>
          <w:rStyle w:val="VerbatimChar"/>
        </w:rPr>
        <w:t xml:space="preserve">s 3(1):215–237.\r\nPaturyan, Yevgenya J. and Christoph H. Stefes. 2017. Doing Business in Armenia: The Art of Manoeuvring a\r\n        System of Corruption. In State Capture, Political Risks and International Business: </w:t>
      </w:r>
      <w:r>
        <w:rPr>
          <w:rStyle w:val="VerbatimChar"/>
        </w:rPr>
        <w:lastRenderedPageBreak/>
        <w:t xml:space="preserve">Cases from Black Sea\r\nUSAID.GOV    </w:t>
      </w:r>
      <w:r>
        <w:rPr>
          <w:rStyle w:val="VerbatimChar"/>
        </w:rPr>
        <w:t xml:space="preserve">                                                 GOVERNANCE IN ARMENIA: AN EVIDENCE REVIEW          | 56\r\n"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[60] "         Region Countries, ed. Johannes Leitner and Hannes Meissner. New York: Routledge chapter 3, pp.\r\n         43–56.\r\nPeisakhin, Leonid, an</w:t>
      </w:r>
      <w:r>
        <w:rPr>
          <w:rStyle w:val="VerbatimChar"/>
        </w:rPr>
        <w:t>d Paul Pinto. 2010. “Is Transparency an Effective Anti-Corruption Strategy?\r\n         Evidence from a Field Experiment in India.” Regulation and Governance 4(3): 261–80.\r\nPersson, Anna, Bo Rothstein, and Jan Teorell. 2013. “Why Anticorruption Reforms F</w:t>
      </w:r>
      <w:r>
        <w:rPr>
          <w:rStyle w:val="VerbatimChar"/>
        </w:rPr>
        <w:t>ail--Systemic\r\n         Corruption as a Collective Action Problem.” Governance 26(3): 449–71.\r\nPeters, B. Guy, ed. 2008. Mixes, Matches, and Mistakes: New Public Management in Russia and the Former\r\n       Soviet Republics. Budapest: Open Society Ins</w:t>
      </w:r>
      <w:r>
        <w:rPr>
          <w:rStyle w:val="VerbatimChar"/>
        </w:rPr>
        <w:t xml:space="preserve">titute.\r\nPeters, B. Guy, and Jon Pierre. 2018. The Next Public Administration: Debates and Dilemmas. London: Sage\r\n       Publications.\r\nPfeil, Hélène, Berenike Laura Schott, and Sanjay Agarwal. 2016. Citizen Service Centers: Pathways Toward\r\n     </w:t>
      </w:r>
      <w:r>
        <w:rPr>
          <w:rStyle w:val="VerbatimChar"/>
        </w:rPr>
        <w:t xml:space="preserve">    Improved Public Service Delivery. World Bank: Washington, DC.\r\nPierskalla, Jan H. 2016. “The Politics of Urban Bias: Rural Threats and the Dual Dilemma of Political\r\n         Survival.” Studies in Comparative International Development 51(3): 286–30</w:t>
      </w:r>
      <w:r>
        <w:rPr>
          <w:rStyle w:val="VerbatimChar"/>
        </w:rPr>
        <w:t>7.\r\nPierskalla, Jan H., Anna Schultz, and Erik Wibbels. 2017. “Order, Distance, and Local Development over\r\n         the Long-Run.” Quarterly Journal of Political Science 12(4): 375–404.\r\nPindyck, Robert, and Daniel L. Rubinfeld. 2009. Microeconomics</w:t>
      </w:r>
      <w:r>
        <w:rPr>
          <w:rStyle w:val="VerbatimChar"/>
        </w:rPr>
        <w:t>. Seventh. Upper Saddle River, New\r\n         Jersey: Prentice Hall.\r\nPritchett, Lant, and Michael Woolcock. 2004. “Solutions When the Solution Is the Problem: Arraying the\r\n       Disarray in Development.” World Development 32(2): 191–212.\r\nRaffler</w:t>
      </w:r>
      <w:r>
        <w:rPr>
          <w:rStyle w:val="VerbatimChar"/>
        </w:rPr>
        <w:t>, Pia, Daniel N. Posner, and Doug Parkerson. 2018. The Weakness of Bottom Up Accountability:\r\n         Experimental Evidence from the Ugandan Health Sector. Working Paper.\r\nRauch, James E. and Peter Evans. 2000. “Bureaucratic Structure and Bureaucratic</w:t>
      </w:r>
      <w:r>
        <w:rPr>
          <w:rStyle w:val="VerbatimChar"/>
        </w:rPr>
        <w:t xml:space="preserve"> Performance in Less\r\n         Developed Countries.” Journal of Public Economics 75(1):49–71.\r\nRecanatini, Francesca. 2011. Anti-Corruption Authorities: An Effective Tool to Curb Corruption? In\r\n         Internal Handbook on the Economics of Corrupti</w:t>
      </w:r>
      <w:r>
        <w:rPr>
          <w:rStyle w:val="VerbatimChar"/>
        </w:rPr>
        <w:t>on, Volume Two, ed. Susan Rose-Ackerman and Tina\r\n         Søreide. Northampton, Massachusetts: Edward Elgar Publishing Limited chapter 19, pp. 528–569.\r\nRemmer, Karen L. 2007. “The Political Economy of Patronage: Expenditure Patterns in the Argentine\</w:t>
      </w:r>
      <w:r>
        <w:rPr>
          <w:rStyle w:val="VerbatimChar"/>
        </w:rPr>
        <w:t xml:space="preserve">r\n         Provinces, 1983-2003.” Journal of Politics 69(2):363–377.\r\nRobinson, James A., and Thierry Verdier. 2013. “The Political Economy of Clientelism.” Scandinavian\r\n         Journal of Economics 115(2): 260–91.\r\nRodden, Jonathan A. 2002. “The </w:t>
      </w:r>
      <w:r>
        <w:rPr>
          <w:rStyle w:val="VerbatimChar"/>
        </w:rPr>
        <w:t>Dilemma of Fiscal Federalism: Grants and Fiscal Performance Around\r\n         the World.” American Journal of Political Science 46(3): 670-687.\r\nUSAID.GOV                                                     GOVERNANCE IN ARMENIA: AN EVIDENCE REVIEW | 57</w:t>
      </w:r>
      <w:r>
        <w:rPr>
          <w:rStyle w:val="VerbatimChar"/>
        </w:rPr>
        <w:t xml:space="preserve">\r\n"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xml:space="preserve">## [61] "Rodden, Jonathan A. 2004. “Comparative Federalism and Decentralization: On Meaning and\r\n         Measurement.” Comparative Politics 36(4):481–500.\r\nRodrik, Dani. 2006. “Goodbye Washington Consensus, Hello Washington Confusion? </w:t>
      </w:r>
      <w:r>
        <w:rPr>
          <w:rStyle w:val="VerbatimChar"/>
        </w:rPr>
        <w:t>A Review of the\r\n         World Bank’s Economic Growth in the 1990s: Learning from a Decade of Reform.” Journal of\r\n         Economic Literature XLIV(December): 973–87.\r\nRodrik, Dani. 2007. One Economics, Many Recipes: Globalization, Institutions, an</w:t>
      </w:r>
      <w:r>
        <w:rPr>
          <w:rStyle w:val="VerbatimChar"/>
        </w:rPr>
        <w:t xml:space="preserve">d Economic </w:t>
      </w:r>
      <w:r>
        <w:rPr>
          <w:rStyle w:val="VerbatimChar"/>
        </w:rPr>
        <w:lastRenderedPageBreak/>
        <w:t>Growth.\r\n      Princeton, NJ: Princeton University Press.\r\nRoss, Michael L. 2006. “Is Democracy Good for the Poor?” American Journal of Political Science 50(4):860–\r\n         874.\r\nRoss, Michael L. 2015. “What Have We Learned about the R</w:t>
      </w:r>
      <w:r>
        <w:rPr>
          <w:rStyle w:val="VerbatimChar"/>
        </w:rPr>
        <w:t>esource Curse?” Annual Review of Political Science\r\n         18(1):239–259.\r\nRothstein, Bo. 2011. The Quality of Government: Corruption, Social Trust, and Inequality in International\r\n         Perspective. Chicago: University of Chicago Press.\r\nSaa</w:t>
      </w:r>
      <w:r>
        <w:rPr>
          <w:rStyle w:val="VerbatimChar"/>
        </w:rPr>
        <w:t>ri, Sinikukka. 2014. “Russia’s Post-Orange Revolution Strategies to Increase its Influence in Former\r\n         Soviet Republics: Public Diplomacy po russkii.” Europe-Asia Studies Vol. 66, No. 1, January 2014,\r\n         50–66.\r\nSachs, Jeffrey D. 2005.</w:t>
      </w:r>
      <w:r>
        <w:rPr>
          <w:rStyle w:val="VerbatimChar"/>
        </w:rPr>
        <w:t xml:space="preserve"> The End of Poverty: Economic Possibilities for Our Time. New York: Penguin Books.\r\nSamuels, David, and Matthew Shugart. 2010. Presidents, Parties and Prime Ministers: How Separation of\r\n         Powers Affects Party Organization and Behavior. New York</w:t>
      </w:r>
      <w:r>
        <w:rPr>
          <w:rStyle w:val="VerbatimChar"/>
        </w:rPr>
        <w:t>: Cambridge University Press.\r\nSamuels, David, and Richard Snyder. 2001. “The Value of a Vote: Malapportionment in Comparative\r\n         Perspective.” British Journal of Political Science 31(04): 651–71.\r\nScartascini, Carlos, Pablo Spiller, Ernesto S</w:t>
      </w:r>
      <w:r>
        <w:rPr>
          <w:rStyle w:val="VerbatimChar"/>
        </w:rPr>
        <w:t>tein and Mariano Tommasi. 2010. El Juego Poli´tico en Ame´rica\r\n         Latina ¿Co´mo Se Deciden Las Poli´ticas Públicas? Inter-American Development Bank: Washington,\r\n         DC.\r\nSchalkwyk, Andrew. 2010. Rejuvenating the Public Registry: Republic</w:t>
      </w:r>
      <w:r>
        <w:rPr>
          <w:rStyle w:val="VerbatimChar"/>
        </w:rPr>
        <w:t xml:space="preserve"> of Georgia, 2006-2008. Innovations for\r\n         Successful Society, Princeton University. Princeton, New Jersey.\r\nSchmitter, Philippe C. and Terry Lynn Karl. 1991. “What Democracy Is... and Is Not.” Journal of\r\n         Democracy 2(3):75–88.\r\nSco</w:t>
      </w:r>
      <w:r>
        <w:rPr>
          <w:rStyle w:val="VerbatimChar"/>
        </w:rPr>
        <w:t>tt, James C. 1998. Seeing Like a State: How Certain Schemes to Improve the Human Condition Have Failed.\r\n      New Haven, Connecticut: Yale University Press.\r\nSelway, Joel Sawat. 2011. “The Measurement of Cross-Cutting Cleavages and Other Multidimensio</w:t>
      </w:r>
      <w:r>
        <w:rPr>
          <w:rStyle w:val="VerbatimChar"/>
        </w:rPr>
        <w:t xml:space="preserve">nal\r\n         Cleavage Structures.” Political Analysis 19(1): 48–65.\r\nUSAID.GOV                                                     GOVERNANCE IN ARMENIA: AN EVIDENCE REVIEW   | 58\r\n"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[62] "Shahnazarian, Nona. N.d. “Sashik-50 per cents and Samvel-tw</w:t>
      </w:r>
      <w:r>
        <w:rPr>
          <w:rStyle w:val="VerbatimChar"/>
        </w:rPr>
        <w:t>o per cents: Anti-Corruption Trends in New\r\n          Armenia.” Forthcoming.\r\nShahnazarian, Nona and Matthew Light. 2018. “Parameters of Police Reform and Non- Reform in Post-\r\n          Soviet Regimes: The Case of Armenia.” Demokratizatsiya: The Jou</w:t>
      </w:r>
      <w:r>
        <w:rPr>
          <w:rStyle w:val="VerbatimChar"/>
        </w:rPr>
        <w:t>rnal of Post-Soviet Democratization\r\n          1(Winter):83–108.\r\nSo, Sokbuntheoen et al., eds. 2018. Alternative Paths to Public Financial Management and Public Sector\r\n          Reform Experiences from East Asia. Washington, DC: World Bank.\r\nSole</w:t>
      </w:r>
      <w:r>
        <w:rPr>
          <w:rStyle w:val="VerbatimChar"/>
        </w:rPr>
        <w:t>´-Olle´, Albert and Pilar Sorribas-Navarro. 2008. “The Effects of Partisan Alignment on the Allocation of\r\n          Intergovernmental Transfers: Differences-in-Differences Estimates for Spain.” Journal of Public\r\n          Economics 92(12):2302–2319.\</w:t>
      </w:r>
      <w:r>
        <w:rPr>
          <w:rStyle w:val="VerbatimChar"/>
        </w:rPr>
        <w:t>r\nSøreide, Tina. 2014. Drivers of Corruption: A Brief Review. Washington, DC: World Bank.\r\nStanig, Piero. 2015. “Regulation of Speech and Media Coverage of Corruption: An Empirical Analysis of the\r\n          Mexican Press.” American Journal of Politic</w:t>
      </w:r>
      <w:r>
        <w:rPr>
          <w:rStyle w:val="VerbatimChar"/>
        </w:rPr>
        <w:t>al Science 59(1):175–193.\r\nStokes, Susan C., Thad Dunning, Marcelo Nazareno and Valeria Brusco. 2013. Brokers, Voters, and Clientelism:\r\n          The Puzzle of Distributive Politics. New York: Cambridge University Press.\r\nSugiyama, Natasha Borges. 2</w:t>
      </w:r>
      <w:r>
        <w:rPr>
          <w:rStyle w:val="VerbatimChar"/>
        </w:rPr>
        <w:t>016. “Pathways to Citizen Accountability: Brazil’s Bolsa Família.” Journal of\r\n          Development Studies 52(8): 1192–</w:t>
      </w:r>
      <w:r>
        <w:rPr>
          <w:rStyle w:val="VerbatimChar"/>
        </w:rPr>
        <w:lastRenderedPageBreak/>
        <w:t>1206.\r\nSugiyama, Natasha Borges, and Wendy Hunter. 2013. “Whither Clientelism? Good Governance and\r\n          Brazil’s Bolsa Famí</w:t>
      </w:r>
      <w:r>
        <w:rPr>
          <w:rStyle w:val="VerbatimChar"/>
        </w:rPr>
        <w:t xml:space="preserve">lia Program.” Comparative Politics 46(1): 43–62.\r\nSvolik, Milan W. 2012. The Politics of Authoritarian Rule. New York: Cambridge University Press.\r\nTeorell, Jan and Bo Rothstein. 2015. “Getting to Sweden, Part I: War and Malfeasance, 1720-1850.”\r\n   </w:t>
      </w:r>
      <w:r>
        <w:rPr>
          <w:rStyle w:val="VerbatimChar"/>
        </w:rPr>
        <w:t xml:space="preserve">       Scandinavian Political Studies 38(3):217–237.\r\nThe Economist. 2018. “The Economist’s Country of the Year 2018.”\r\nTheriault, Sean M. 2003. “Patronage, the Pendleton Act, and Power of the People.” Journal of\r\n          Politics 65(1): 485–86.\r\</w:t>
      </w:r>
      <w:r>
        <w:rPr>
          <w:rStyle w:val="VerbatimChar"/>
        </w:rPr>
        <w:t>nTimmons, Jeffrey F. and Francisco Garfias. 2015. “Revealed Corruption, Taxation, and Fiscal\r\n          Accountability: Evidence from Brazil.” World Development 70:13–27.\r\nTocci, Nathalie. \"The Closed Armenia-Turkey Border: Economic and Social Effects</w:t>
      </w:r>
      <w:r>
        <w:rPr>
          <w:rStyle w:val="VerbatimChar"/>
        </w:rPr>
        <w:t xml:space="preserve">, Including Those on\r\n          The People; And Implications for the Overall Situation In The Region.\" 2007. European\r\n          Parliament, Policy Department External Policies.\r\nToomet, Ott. \"Learn English, Not the Local Language! Ethnic Russians </w:t>
      </w:r>
      <w:r>
        <w:rPr>
          <w:rStyle w:val="VerbatimChar"/>
        </w:rPr>
        <w:t xml:space="preserve">in the Baltic states.\" American\r\n          Economic Review101.3 (2011): 526-31.\r\nUSAID.GOV                                                       GOVERNANCE IN ARMENIA: AN EVIDENCE REVIEW |   59\r\n"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[63] "Touchton, Michael, Natasha Borges Sugiyama, and Brian Wampler. 2017. “Democracy at Work: Moving\r\n         Beyond Elections to Improve Well-Be</w:t>
      </w:r>
      <w:r>
        <w:rPr>
          <w:rStyle w:val="VerbatimChar"/>
        </w:rPr>
        <w:t>ing.” American Political Science Review 111(01): 68–82.\r\nTouchton, Michael, and Brian Wampler. 2013. “Improving Social Well-Being Through New Democratic\r\n         Institutions.” Comparative Political Studies 47(10): 1442–69.\r\nTransparency Internation</w:t>
      </w:r>
      <w:r>
        <w:rPr>
          <w:rStyle w:val="VerbatimChar"/>
        </w:rPr>
        <w:t>al. 2013. Integrity Pacts in Public Procurement: An Implementation Guide. Berlin:\r\n         Transparency International.\r\nTreisman, Daniel. 2007. The Architecture of Government: Rethinking Political Decentralization. Cambridge:\r\n         Cambridge Uni</w:t>
      </w:r>
      <w:r>
        <w:rPr>
          <w:rStyle w:val="VerbatimChar"/>
        </w:rPr>
        <w:t>versity Press.\r\nUNESCO. 2018. “Education Statistics.” URL: http://uis.unesco.org/\r\nUSAID. 2019a. Civil Society and Media in Armenia: An Evidence Review for Learning, Evaluation, and\r\n         Research Activity II (LER II). URL:\r\n         https://de</w:t>
      </w:r>
      <w:r>
        <w:rPr>
          <w:rStyle w:val="VerbatimChar"/>
        </w:rPr>
        <w:t>c.usaid.gov/dec/content/Detail.aspx?vID=47&amp;ctID=ODVhZjk4NWQtM2YyMi00YjRmL\r\n         TkxNjktZTcxMjM2NDBmY2Uy&amp;rID=NTE3Mzgw\r\nUSAID. 2019b. Integrity Systems and the Rule of Law in Armenia: An Evidence Review for Learning,\r\n         Evaluation and Resear</w:t>
      </w:r>
      <w:r>
        <w:rPr>
          <w:rStyle w:val="VerbatimChar"/>
        </w:rPr>
        <w:t>ch Activity II (LER II). URL:\r\n         https://dec.usaid.gov/dec/content/Detail.aspx?vID=47&amp;ctID=ODVhZjk4NWQtM2YyMi00YjRmL\r\n         TkxNjktZTcxMjM2NDBmY2Uy&amp;rID=NTE5NDk5\r\nUslaner, Eric M. 2017. The Historical Roots of Corruption: Mass Education, Eco</w:t>
      </w:r>
      <w:r>
        <w:rPr>
          <w:rStyle w:val="VerbatimChar"/>
        </w:rPr>
        <w:t>nomic Inequality, and State\r\n         Capacity. Cambridge: Cambridge University Press.\r\nvan der Ploeg, Frederick. 2011. “Natural Resources: Curse or Blessing?” Journal of Economic Literature\r\n         49(2):366–420.\r\nVeenendaal, Wouten. 2015. Polit</w:t>
      </w:r>
      <w:r>
        <w:rPr>
          <w:rStyle w:val="VerbatimChar"/>
        </w:rPr>
        <w:t>ics and Democracy in Microstates. London: Routledge.\r\nVeiga, Linda Gonc¸alves and Francisco Jose´ Veiga. 2013. “Intergovernmental Fiscal Transfers as Pork Barrel.”\r\n         Public Choice 155(3-4):335–353.\r\nWalker, Shaun. 2016. “Mikheil Saakashvili Q</w:t>
      </w:r>
      <w:r>
        <w:rPr>
          <w:rStyle w:val="VerbatimChar"/>
        </w:rPr>
        <w:t>uits as Governor of Ukraine’s Odessa Region.” The Guardian.\r\nWay, Lucan 2015. “The Limits of Autocracy Promotion: The Case of Russia in the ‘Near Abroad’,\r\n         European Journal of Political Research 54: 691–706, 2015\r\nWeber, Max. 1978. Economy a</w:t>
      </w:r>
      <w:r>
        <w:rPr>
          <w:rStyle w:val="VerbatimChar"/>
        </w:rPr>
        <w:t xml:space="preserve">nd Society: An Outline of Interpretive Sociology. Berkeley, California: University of\r\n         California </w:t>
      </w:r>
      <w:r>
        <w:rPr>
          <w:rStyle w:val="VerbatimChar"/>
        </w:rPr>
        <w:lastRenderedPageBreak/>
        <w:t>Press.\r\nWeingast, Barry R. 2014. “Second Generation Fiscal Federalism: Political Aspects of De- centralization\r\n         and Economic Developme</w:t>
      </w:r>
      <w:r>
        <w:rPr>
          <w:rStyle w:val="VerbatimChar"/>
        </w:rPr>
        <w:t xml:space="preserve">nt.” World Development 53:14–25. URL:\r\n         http://dx.doi.org/10.1016/j.worlddev.2013.01.003\r\nUSAID.GOV                                                    GOVERNANCE IN ARMENIA: AN EVIDENCE REVIEW      |  60\r\n"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[64] "Wicksberg, Sofia and Varuzhan Hoktanyan. 2013. Overview of Corruption and Anti- Corruption in\r\n         Armenia. Transparency International: Yerevan, Armenia.\r\nWilliamson, John. 1993. “Democracy and the Washington Consensus</w:t>
      </w:r>
      <w:r>
        <w:rPr>
          <w:rStyle w:val="VerbatimChar"/>
        </w:rPr>
        <w:t>.” World Development 21(8): 1329–\r\n         36.\r\nWilliamson, John. 2000. “What Should the World Bank Think about the Washington Consensus?”\r\n         World Bank Research Observer 15(2): 251–64.\r\nWilliamson, Oliver. 1985. The Economic Institutions o</w:t>
      </w:r>
      <w:r>
        <w:rPr>
          <w:rStyle w:val="VerbatimChar"/>
        </w:rPr>
        <w:t>f Capitalism. New York: Simon and Schuster.\r\nWorld Bank. 2004. World Development Report: Making Services Work for Poor People. Washington,\r\n         DC: World Bank.\r\nWorld Bank. 2008. Public Sector Reform: What Works and Why. Washington, DC: World Ba</w:t>
      </w:r>
      <w:r>
        <w:rPr>
          <w:rStyle w:val="VerbatimChar"/>
        </w:rPr>
        <w:t xml:space="preserve">nk\r\n      Independent Evaluation Group.\r\nWorld Bank. 2011. How-to Notes: Dealing with Governance and Corruption Risks in Project Lending.\r\n         Citizen Service Centers: Enhancing Access, Improving Service Delivery, and Reducing Corruption.\r\n   </w:t>
      </w:r>
      <w:r>
        <w:rPr>
          <w:rStyle w:val="VerbatimChar"/>
        </w:rPr>
        <w:t xml:space="preserve">      Washington, DC.\r\nWorld Bank. 2013. Global Review of Grievance Redress Mechanisms. Washington, DC.\r\nWorld Bank. 2015a. Project Appraisal Document on a Proposed Loan to the Republic of Armenia for a\r\n         Third Public Sector Modernization Pro</w:t>
      </w:r>
      <w:r>
        <w:rPr>
          <w:rStyle w:val="VerbatimChar"/>
        </w:rPr>
        <w:t>ject. Washington, DC.\r\nWorld Bank. 2015b. Independent Evaluation Group Implementation Completion Report Review for\r\n         Moldova’s Government Central Public Administration Reform (CPAR) Project. Washington,\r\n         DC.\r\nWorld Bank. 2017a. “Wo</w:t>
      </w:r>
      <w:r>
        <w:rPr>
          <w:rStyle w:val="VerbatimChar"/>
        </w:rPr>
        <w:t>rld Development Indicators.” URL: http://data.worldbank.org/data-catalog/world-\r\n         development-indicators\r\nWorld Bank. 2017b. World Development Report: Governance and the Law. Washington, DC: World Bank.\r\nWorld Bank. 2017c. Independent Evaluat</w:t>
      </w:r>
      <w:r>
        <w:rPr>
          <w:rStyle w:val="VerbatimChar"/>
        </w:rPr>
        <w:t>ion Group Implementation Completion Report Review of\r\n         Moldova’s ETRANSFORMATION Project (P121231). Washington, DC.\r\nWorld Bank. 2017d. Project Appraisal Document for Moldova’s Modernization of Government Services\r\n         Project (P148537).</w:t>
      </w:r>
      <w:r>
        <w:rPr>
          <w:rStyle w:val="VerbatimChar"/>
        </w:rPr>
        <w:t xml:space="preserve"> Washington, DC.\r\nWorld Bank. 2018. Implementation Status Report for Armenia’s Third Public Sector Modernization\r\n         Project. Washington, DC.\r\nXu, Guo. 2018. “The Costs of Patronage: Evidence from the British Empire.” American Economic\r\n     </w:t>
      </w:r>
      <w:r>
        <w:rPr>
          <w:rStyle w:val="VerbatimChar"/>
        </w:rPr>
        <w:t xml:space="preserve">    Review 108(11): 3170–98.\r\nZiblatt, Daniel. 2017. Conservative Parties and the Birth of Democracy. Cambridge: Cambridge University Press.\r\nUSAID.GOV                                                      GOVERNANCE IN ARMENIA: AN EVIDENCE REVIEW  |  6</w:t>
      </w:r>
      <w:r>
        <w:rPr>
          <w:rStyle w:val="VerbatimChar"/>
        </w:rPr>
        <w:t xml:space="preserve">1\r\n"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[65] "Zimmerman, William. 2014. Ruling Russia: Authoritariani</w:t>
      </w:r>
      <w:r>
        <w:rPr>
          <w:rStyle w:val="VerbatimChar"/>
        </w:rPr>
        <w:t>sm from the Revolution to Putin. Princeton, New Jersey:\r\n        Princeton University Press.\r\nUSAID.GOV                                                  GOVERNANCE IN ARMENIA: AN EVIDENCE REVIEW      |  62\r\n"</w:t>
      </w:r>
    </w:p>
    <w:p w14:paraId="7810B34D" w14:textId="77777777" w:rsidR="000B6C49" w:rsidRDefault="0009276C">
      <w:pPr>
        <w:pStyle w:val="SourceCode"/>
      </w:pPr>
      <w:r>
        <w:rPr>
          <w:rStyle w:val="NormalTok"/>
        </w:rPr>
        <w:t>armeniatext &lt;-</w:t>
      </w:r>
      <w:r>
        <w:rPr>
          <w:rStyle w:val="StringTok"/>
        </w:rPr>
        <w:t xml:space="preserve"> </w:t>
      </w:r>
      <w:r>
        <w:rPr>
          <w:rStyle w:val="NormalTok"/>
        </w:rPr>
        <w:t>mytext</w:t>
      </w:r>
      <w:r>
        <w:br/>
      </w:r>
      <w:r>
        <w:rPr>
          <w:rStyle w:val="NormalTok"/>
        </w:rPr>
        <w:t>armeniatext=</w:t>
      </w:r>
      <w:r>
        <w:rPr>
          <w:rStyle w:val="KeywordTok"/>
        </w:rPr>
        <w:t>as.data</w:t>
      </w:r>
      <w:r>
        <w:rPr>
          <w:rStyle w:val="KeywordTok"/>
        </w:rPr>
        <w:t>.frame</w:t>
      </w:r>
      <w:r>
        <w:rPr>
          <w:rStyle w:val="NormalTok"/>
        </w:rPr>
        <w:t>(armeniatext)</w:t>
      </w:r>
      <w:r>
        <w:br/>
      </w:r>
      <w:r>
        <w:rPr>
          <w:rStyle w:val="NormalTok"/>
        </w:rPr>
        <w:t>armeniatext</w:t>
      </w:r>
      <w:r>
        <w:rPr>
          <w:rStyle w:val="OperatorTok"/>
        </w:rPr>
        <w:t>$</w:t>
      </w:r>
      <w:r>
        <w:rPr>
          <w:rStyle w:val="NormalTok"/>
        </w:rPr>
        <w:t>page=</w:t>
      </w:r>
      <w:r>
        <w:rPr>
          <w:rStyle w:val="KeywordTok"/>
        </w:rPr>
        <w:t>c</w:t>
      </w:r>
      <w:r>
        <w:rPr>
          <w:rStyle w:val="NormalTok"/>
        </w:rPr>
        <w:t>(</w:t>
      </w:r>
      <w:r>
        <w:rPr>
          <w:rStyle w:val="DecValTok"/>
        </w:rPr>
        <w:t>1</w:t>
      </w:r>
      <w:r>
        <w:rPr>
          <w:rStyle w:val="OperatorTok"/>
        </w:rPr>
        <w:t>:</w:t>
      </w:r>
      <w:r>
        <w:rPr>
          <w:rStyle w:val="DecValTok"/>
        </w:rPr>
        <w:t>65</w:t>
      </w:r>
      <w:r>
        <w:rPr>
          <w:rStyle w:val="NormalTok"/>
        </w:rPr>
        <w:t>)</w:t>
      </w:r>
      <w:r>
        <w:br/>
      </w:r>
      <w:r>
        <w:rPr>
          <w:rStyle w:val="NormalTok"/>
        </w:rPr>
        <w:t>colnames=(armeniatext)[</w:t>
      </w:r>
      <w:r>
        <w:rPr>
          <w:rStyle w:val="KeywordTok"/>
        </w:rPr>
        <w:t>which</w:t>
      </w:r>
      <w:r>
        <w:rPr>
          <w:rStyle w:val="NormalTok"/>
        </w:rPr>
        <w:t>(names)(armeniatext)</w:t>
      </w:r>
      <w:r>
        <w:rPr>
          <w:rStyle w:val="OperatorTok"/>
        </w:rPr>
        <w:t>==</w:t>
      </w:r>
      <w:r>
        <w:rPr>
          <w:rStyle w:val="StringTok"/>
        </w:rPr>
        <w:t>"armeniatext"</w:t>
      </w:r>
      <w:r>
        <w:rPr>
          <w:rStyle w:val="NormalTok"/>
        </w:rPr>
        <w:t>] &lt;-</w:t>
      </w:r>
      <w:r>
        <w:rPr>
          <w:rStyle w:val="StringTok"/>
        </w:rPr>
        <w:t xml:space="preserve"> "text"</w:t>
      </w:r>
    </w:p>
    <w:p w14:paraId="33BB9BE4" w14:textId="77777777" w:rsidR="000B6C49" w:rsidRDefault="0009276C">
      <w:pPr>
        <w:pStyle w:val="SourceCode"/>
      </w:pPr>
      <w:r>
        <w:rPr>
          <w:rStyle w:val="VerbatimChar"/>
        </w:rPr>
        <w:t>## Error in which(names): argument to 'which' is not logical</w:t>
      </w:r>
    </w:p>
    <w:p w14:paraId="3F584AAD" w14:textId="77777777" w:rsidR="000B6C49" w:rsidRDefault="0009276C">
      <w:pPr>
        <w:pStyle w:val="Compact"/>
        <w:numPr>
          <w:ilvl w:val="0"/>
          <w:numId w:val="12"/>
        </w:numPr>
      </w:pPr>
      <w:r>
        <w:lastRenderedPageBreak/>
        <w:t>Tokenizing the data and removing stop words</w:t>
      </w:r>
    </w:p>
    <w:p w14:paraId="3935A850" w14:textId="77777777" w:rsidR="000B6C49" w:rsidRDefault="0009276C">
      <w:pPr>
        <w:pStyle w:val="SourceCode"/>
      </w:pPr>
      <w:r>
        <w:rPr>
          <w:rStyle w:val="NormalTok"/>
        </w:rPr>
        <w:t>armeniatext &lt;-</w:t>
      </w:r>
      <w:r>
        <w:rPr>
          <w:rStyle w:val="StringTok"/>
        </w:rPr>
        <w:t xml:space="preserve"> </w:t>
      </w:r>
      <w:r>
        <w:rPr>
          <w:rStyle w:val="NormalTok"/>
        </w:rPr>
        <w:t xml:space="preserve">armeniatext </w:t>
      </w:r>
      <w:r>
        <w:rPr>
          <w:rStyle w:val="OperatorTok"/>
        </w:rPr>
        <w:t>%&gt;%</w:t>
      </w:r>
      <w:r>
        <w:br/>
      </w:r>
      <w:r>
        <w:rPr>
          <w:rStyle w:val="StringTok"/>
        </w:rPr>
        <w:t xml:space="preserve">  </w:t>
      </w:r>
      <w:r>
        <w:rPr>
          <w:rStyle w:val="KeywordTok"/>
        </w:rPr>
        <w:t>unnest_tokens</w:t>
      </w:r>
      <w:r>
        <w:rPr>
          <w:rStyle w:val="NormalTok"/>
        </w:rPr>
        <w:t>(word,text)</w:t>
      </w:r>
    </w:p>
    <w:p w14:paraId="5A86DA41" w14:textId="77777777" w:rsidR="000B6C49" w:rsidRDefault="0009276C">
      <w:pPr>
        <w:pStyle w:val="SourceCode"/>
      </w:pPr>
      <w:r>
        <w:rPr>
          <w:rStyle w:val="VerbatimChar"/>
        </w:rPr>
        <w:t>## Error in check_input(x): Input must be a character vector of any length or a list of character</w:t>
      </w:r>
      <w:r>
        <w:br/>
      </w:r>
      <w:r>
        <w:rPr>
          <w:rStyle w:val="VerbatimChar"/>
        </w:rPr>
        <w:t>##   vectors, each of which has a length of 1.</w:t>
      </w:r>
    </w:p>
    <w:p w14:paraId="026FDD9D" w14:textId="77777777" w:rsidR="000B6C49" w:rsidRDefault="0009276C">
      <w:pPr>
        <w:pStyle w:val="SourceCode"/>
      </w:pPr>
      <w:r>
        <w:rPr>
          <w:rStyle w:val="KeywordTok"/>
        </w:rPr>
        <w:t>data</w:t>
      </w:r>
      <w:r>
        <w:rPr>
          <w:rStyle w:val="NormalTok"/>
        </w:rPr>
        <w:t>(stop_words)</w:t>
      </w:r>
      <w:r>
        <w:br/>
      </w:r>
      <w:r>
        <w:rPr>
          <w:rStyle w:val="NormalTok"/>
        </w:rPr>
        <w:t>armeniatext &lt;-</w:t>
      </w:r>
      <w:r>
        <w:rPr>
          <w:rStyle w:val="StringTok"/>
        </w:rPr>
        <w:t xml:space="preserve"> </w:t>
      </w:r>
      <w:r>
        <w:rPr>
          <w:rStyle w:val="NormalTok"/>
        </w:rPr>
        <w:t xml:space="preserve">aremniatext </w:t>
      </w:r>
      <w:r>
        <w:rPr>
          <w:rStyle w:val="OperatorTok"/>
        </w:rPr>
        <w:t>%&gt;%</w:t>
      </w:r>
      <w:r>
        <w:br/>
      </w:r>
      <w:r>
        <w:rPr>
          <w:rStyle w:val="StringTok"/>
        </w:rPr>
        <w:t xml:space="preserve">  </w:t>
      </w:r>
      <w:r>
        <w:rPr>
          <w:rStyle w:val="KeywordTok"/>
        </w:rPr>
        <w:t>anti_join</w:t>
      </w:r>
      <w:r>
        <w:rPr>
          <w:rStyle w:val="NormalTok"/>
        </w:rPr>
        <w:t>(stop_words)</w:t>
      </w:r>
    </w:p>
    <w:p w14:paraId="18957607" w14:textId="77777777" w:rsidR="000B6C49" w:rsidRDefault="0009276C">
      <w:pPr>
        <w:pStyle w:val="SourceCode"/>
      </w:pPr>
      <w:r>
        <w:rPr>
          <w:rStyle w:val="VerbatimChar"/>
        </w:rPr>
        <w:t xml:space="preserve">## Error in </w:t>
      </w:r>
      <w:r>
        <w:rPr>
          <w:rStyle w:val="VerbatimChar"/>
        </w:rPr>
        <w:t>eval(lhs, parent, parent): object 'aremniatext' not found</w:t>
      </w:r>
    </w:p>
    <w:p w14:paraId="38DDA18B" w14:textId="77777777" w:rsidR="000B6C49" w:rsidRDefault="0009276C">
      <w:pPr>
        <w:pStyle w:val="Compact"/>
        <w:numPr>
          <w:ilvl w:val="0"/>
          <w:numId w:val="13"/>
        </w:numPr>
      </w:pPr>
      <w:r>
        <w:t>Top 5 most used words in the report</w:t>
      </w:r>
    </w:p>
    <w:p w14:paraId="298B286A" w14:textId="77777777" w:rsidR="000B6C49" w:rsidRDefault="0009276C">
      <w:pPr>
        <w:pStyle w:val="SourceCode"/>
      </w:pPr>
      <w:r>
        <w:rPr>
          <w:rStyle w:val="NormalTok"/>
        </w:rPr>
        <w:t>hqfreq &lt;-</w:t>
      </w:r>
      <w:r>
        <w:rPr>
          <w:rStyle w:val="StringTok"/>
        </w:rPr>
        <w:t xml:space="preserve"> </w:t>
      </w:r>
      <w:r>
        <w:rPr>
          <w:rStyle w:val="NormalTok"/>
        </w:rPr>
        <w:t xml:space="preserve">armeniatext </w:t>
      </w:r>
      <w:r>
        <w:rPr>
          <w:rStyle w:val="OperatorTok"/>
        </w:rPr>
        <w:t>%&gt;%</w:t>
      </w:r>
      <w:r>
        <w:br/>
      </w:r>
      <w:r>
        <w:rPr>
          <w:rStyle w:val="StringTok"/>
        </w:rPr>
        <w:t xml:space="preserve">  </w:t>
      </w:r>
      <w:r>
        <w:rPr>
          <w:rStyle w:val="KeywordTok"/>
        </w:rPr>
        <w:t>count</w:t>
      </w:r>
      <w:r>
        <w:rPr>
          <w:rStyle w:val="NormalTok"/>
        </w:rPr>
        <w:t xml:space="preserve">(word, </w:t>
      </w:r>
      <w:r>
        <w:rPr>
          <w:rStyle w:val="DataTypeTok"/>
        </w:rPr>
        <w:t>sort=</w:t>
      </w:r>
      <w:r>
        <w:rPr>
          <w:rStyle w:val="OtherTok"/>
        </w:rPr>
        <w:t>TRUE</w:t>
      </w:r>
      <w:r>
        <w:rPr>
          <w:rStyle w:val="NormalTok"/>
        </w:rPr>
        <w:t>)</w:t>
      </w:r>
    </w:p>
    <w:p w14:paraId="5A9A38F5" w14:textId="77777777" w:rsidR="000B6C49" w:rsidRDefault="0009276C">
      <w:pPr>
        <w:pStyle w:val="SourceCode"/>
      </w:pPr>
      <w:r>
        <w:rPr>
          <w:rStyle w:val="VerbatimChar"/>
        </w:rPr>
        <w:t>## Error: Must group by variables found in `.data`.</w:t>
      </w:r>
      <w:r>
        <w:br/>
      </w:r>
      <w:r>
        <w:rPr>
          <w:rStyle w:val="VerbatimChar"/>
        </w:rPr>
        <w:t>## * Column `word` is not found.</w:t>
      </w:r>
    </w:p>
    <w:p w14:paraId="6987EFA9" w14:textId="77777777" w:rsidR="000B6C49" w:rsidRDefault="0009276C">
      <w:pPr>
        <w:pStyle w:val="SourceCode"/>
      </w:pPr>
      <w:r>
        <w:rPr>
          <w:rStyle w:val="KeywordTok"/>
        </w:rPr>
        <w:t>head</w:t>
      </w:r>
      <w:r>
        <w:rPr>
          <w:rStyle w:val="NormalTok"/>
        </w:rPr>
        <w:t>(hqfreq)</w:t>
      </w:r>
    </w:p>
    <w:p w14:paraId="1F020C60" w14:textId="77777777" w:rsidR="000B6C49" w:rsidRDefault="0009276C">
      <w:pPr>
        <w:pStyle w:val="SourceCode"/>
      </w:pPr>
      <w:r>
        <w:rPr>
          <w:rStyle w:val="VerbatimChar"/>
        </w:rPr>
        <w:t>## Error in h(simpleError(msg, call)): error in evaluating the argument 'x' in selecting a method for function 'head': object 'hqfreq' not found</w:t>
      </w:r>
    </w:p>
    <w:p w14:paraId="2CA17A85" w14:textId="77777777" w:rsidR="000B6C49" w:rsidRDefault="0009276C">
      <w:pPr>
        <w:pStyle w:val="SourceCode"/>
      </w:pPr>
      <w:r>
        <w:rPr>
          <w:rStyle w:val="NormalTok"/>
        </w:rPr>
        <w:t>freq=</w:t>
      </w:r>
      <w:r>
        <w:rPr>
          <w:rStyle w:val="StringTok"/>
        </w:rPr>
        <w:t xml:space="preserve"> </w:t>
      </w:r>
      <w:r>
        <w:rPr>
          <w:rStyle w:val="NormalTok"/>
        </w:rPr>
        <w:t xml:space="preserve">armeniatext </w:t>
      </w:r>
      <w:r>
        <w:rPr>
          <w:rStyle w:val="OperatorTok"/>
        </w:rPr>
        <w:t>%&gt;%</w:t>
      </w:r>
      <w:r>
        <w:br/>
      </w:r>
      <w:r>
        <w:rPr>
          <w:rStyle w:val="StringTok"/>
        </w:rPr>
        <w:t xml:space="preserve">  </w:t>
      </w:r>
      <w:r>
        <w:rPr>
          <w:rStyle w:val="KeywordTok"/>
        </w:rPr>
        <w:t>group_by</w:t>
      </w:r>
      <w:r>
        <w:rPr>
          <w:rStyle w:val="NormalTok"/>
        </w:rPr>
        <w:t>(page)</w:t>
      </w:r>
      <w:r>
        <w:br/>
      </w:r>
      <w:r>
        <w:rPr>
          <w:rStyle w:val="NormalTok"/>
        </w:rPr>
        <w:t xml:space="preserve">  </w:t>
      </w:r>
      <w:r>
        <w:rPr>
          <w:rStyle w:val="KeywordTok"/>
        </w:rPr>
        <w:t>count</w:t>
      </w:r>
      <w:r>
        <w:rPr>
          <w:rStyle w:val="NormalTok"/>
        </w:rPr>
        <w:t xml:space="preserve">(word, </w:t>
      </w:r>
      <w:r>
        <w:rPr>
          <w:rStyle w:val="DataTypeTok"/>
        </w:rPr>
        <w:t>sort=</w:t>
      </w:r>
      <w:r>
        <w:rPr>
          <w:rStyle w:val="OtherTok"/>
        </w:rPr>
        <w:t>TRUE</w:t>
      </w:r>
      <w:r>
        <w:rPr>
          <w:rStyle w:val="NormalTok"/>
        </w:rPr>
        <w:t>)</w:t>
      </w:r>
    </w:p>
    <w:p w14:paraId="49E60A45" w14:textId="77777777" w:rsidR="000B6C49" w:rsidRDefault="0009276C">
      <w:pPr>
        <w:pStyle w:val="SourceCode"/>
      </w:pPr>
      <w:r>
        <w:rPr>
          <w:rStyle w:val="VerbatimChar"/>
        </w:rPr>
        <w:t>#</w:t>
      </w:r>
      <w:r>
        <w:rPr>
          <w:rStyle w:val="VerbatimChar"/>
        </w:rPr>
        <w:t># Error in UseMethod("tbl_vars"): no applicable method for 'tbl_vars' applied to an object of class "function"</w:t>
      </w:r>
    </w:p>
    <w:p w14:paraId="1924DD9F" w14:textId="77777777" w:rsidR="000B6C49" w:rsidRDefault="0009276C">
      <w:pPr>
        <w:pStyle w:val="SourceCode"/>
      </w:pPr>
      <w:r>
        <w:rPr>
          <w:rStyle w:val="KeywordTok"/>
        </w:rPr>
        <w:t>head</w:t>
      </w:r>
      <w:r>
        <w:rPr>
          <w:rStyle w:val="NormalTok"/>
        </w:rPr>
        <w:t>(freq)</w:t>
      </w:r>
    </w:p>
    <w:p w14:paraId="3656ED76" w14:textId="77777777" w:rsidR="000B6C49" w:rsidRDefault="0009276C">
      <w:pPr>
        <w:pStyle w:val="SourceCode"/>
      </w:pPr>
      <w:r>
        <w:rPr>
          <w:rStyle w:val="VerbatimChar"/>
        </w:rPr>
        <w:t>## # A tibble: 6 x 2</w:t>
      </w:r>
      <w:r>
        <w:br/>
      </w:r>
      <w:r>
        <w:rPr>
          <w:rStyle w:val="VerbatimChar"/>
        </w:rPr>
        <w:t>## # Groups:   page [6]</w:t>
      </w:r>
      <w:r>
        <w:br/>
      </w:r>
      <w:r>
        <w:rPr>
          <w:rStyle w:val="VerbatimChar"/>
        </w:rPr>
        <w:t>##   armeniatext                                                               page</w:t>
      </w:r>
      <w:r>
        <w:br/>
      </w:r>
      <w:r>
        <w:rPr>
          <w:rStyle w:val="VerbatimChar"/>
        </w:rPr>
        <w:t xml:space="preserve">##   </w:t>
      </w:r>
      <w:r>
        <w:rPr>
          <w:rStyle w:val="VerbatimChar"/>
        </w:rPr>
        <w:t>&lt;chr&gt;                                                                    &lt;int&gt;</w:t>
      </w:r>
      <w:r>
        <w:br/>
      </w:r>
      <w:r>
        <w:rPr>
          <w:rStyle w:val="VerbatimChar"/>
        </w:rPr>
        <w:t>## 1 "                                                                      ~     1</w:t>
      </w:r>
      <w:r>
        <w:br/>
      </w:r>
      <w:r>
        <w:rPr>
          <w:rStyle w:val="VerbatimChar"/>
        </w:rPr>
        <w:t>## 2 "This document was produced for review by the United States Agency for ~     2</w:t>
      </w:r>
      <w:r>
        <w:br/>
      </w:r>
      <w:r>
        <w:rPr>
          <w:rStyle w:val="VerbatimChar"/>
        </w:rPr>
        <w:t>## 3 "CON</w:t>
      </w:r>
      <w:r>
        <w:rPr>
          <w:rStyle w:val="VerbatimChar"/>
        </w:rPr>
        <w:t>TENTS\r\n1.      EXECUTIVE SUMMARY                                 ~     3</w:t>
      </w:r>
      <w:r>
        <w:br/>
      </w:r>
      <w:r>
        <w:rPr>
          <w:rStyle w:val="VerbatimChar"/>
        </w:rPr>
        <w:t>## 4 "  1.        EXECUTIVE SUMMARY1\r\nThis report contains a Governance se~     4</w:t>
      </w:r>
      <w:r>
        <w:br/>
      </w:r>
      <w:r>
        <w:rPr>
          <w:rStyle w:val="VerbatimChar"/>
        </w:rPr>
        <w:t>## 5 "• Service Delivery\r\n   - Participatory programs are likely to be ben~     5</w:t>
      </w:r>
      <w:r>
        <w:br/>
      </w:r>
      <w:r>
        <w:rPr>
          <w:rStyle w:val="VerbatimChar"/>
        </w:rPr>
        <w:lastRenderedPageBreak/>
        <w:t xml:space="preserve">## 6 "  2.   </w:t>
      </w:r>
      <w:r>
        <w:rPr>
          <w:rStyle w:val="VerbatimChar"/>
        </w:rPr>
        <w:t xml:space="preserve">    GOVERNANCE EVIDENCE REVIEW\r\n  2.1.       GOVERNANCE, DEMO~     6</w:t>
      </w:r>
    </w:p>
    <w:p w14:paraId="3FE09365" w14:textId="77777777" w:rsidR="000B6C49" w:rsidRDefault="0009276C">
      <w:pPr>
        <w:pStyle w:val="Compact"/>
        <w:numPr>
          <w:ilvl w:val="0"/>
          <w:numId w:val="14"/>
        </w:numPr>
      </w:pPr>
      <w:r>
        <w:t>Loading the Billboard hot 100 webpage</w:t>
      </w:r>
    </w:p>
    <w:p w14:paraId="25836721" w14:textId="77777777" w:rsidR="000B6C49" w:rsidRDefault="0009276C">
      <w:pPr>
        <w:pStyle w:val="SourceCode"/>
      </w:pPr>
      <w:r>
        <w:rPr>
          <w:rStyle w:val="KeywordTok"/>
        </w:rPr>
        <w:t>library</w:t>
      </w:r>
      <w:r>
        <w:rPr>
          <w:rStyle w:val="NormalTok"/>
        </w:rPr>
        <w:t>(rvest)</w:t>
      </w:r>
    </w:p>
    <w:p w14:paraId="3D1823DF" w14:textId="77777777" w:rsidR="000B6C49" w:rsidRDefault="0009276C">
      <w:pPr>
        <w:pStyle w:val="SourceCode"/>
      </w:pPr>
      <w:r>
        <w:rPr>
          <w:rStyle w:val="VerbatimChar"/>
        </w:rPr>
        <w:t>## Loading required package: xml2</w:t>
      </w:r>
    </w:p>
    <w:p w14:paraId="6224F568" w14:textId="77777777" w:rsidR="000B6C49" w:rsidRDefault="0009276C">
      <w:pPr>
        <w:pStyle w:val="SourceCode"/>
      </w:pPr>
      <w:r>
        <w:rPr>
          <w:rStyle w:val="VerbatimChar"/>
        </w:rPr>
        <w:t xml:space="preserve">## </w:t>
      </w:r>
      <w:r>
        <w:br/>
      </w:r>
      <w:r>
        <w:rPr>
          <w:rStyle w:val="VerbatimChar"/>
        </w:rPr>
        <w:t>## Attaching package: 'rvest'</w:t>
      </w:r>
    </w:p>
    <w:p w14:paraId="3EE776FD" w14:textId="77777777" w:rsidR="000B6C49" w:rsidRDefault="0009276C">
      <w:pPr>
        <w:pStyle w:val="SourceCode"/>
      </w:pPr>
      <w:r>
        <w:rPr>
          <w:rStyle w:val="VerbatimChar"/>
        </w:rPr>
        <w:t>## The following object is masked from 'package:purrr':</w:t>
      </w:r>
      <w:r>
        <w:br/>
      </w:r>
      <w:r>
        <w:rPr>
          <w:rStyle w:val="VerbatimChar"/>
        </w:rPr>
        <w:t xml:space="preserve">## </w:t>
      </w:r>
      <w:r>
        <w:br/>
      </w:r>
      <w:r>
        <w:rPr>
          <w:rStyle w:val="VerbatimChar"/>
        </w:rPr>
        <w:t xml:space="preserve">##  </w:t>
      </w:r>
      <w:r>
        <w:rPr>
          <w:rStyle w:val="VerbatimChar"/>
        </w:rPr>
        <w:t xml:space="preserve">   pluck</w:t>
      </w:r>
    </w:p>
    <w:p w14:paraId="50CCAA71" w14:textId="77777777" w:rsidR="000B6C49" w:rsidRDefault="0009276C">
      <w:pPr>
        <w:pStyle w:val="SourceCode"/>
      </w:pPr>
      <w:r>
        <w:rPr>
          <w:rStyle w:val="VerbatimChar"/>
        </w:rPr>
        <w:t>## The following object is masked from 'package:readr':</w:t>
      </w:r>
      <w:r>
        <w:br/>
      </w:r>
      <w:r>
        <w:rPr>
          <w:rStyle w:val="VerbatimChar"/>
        </w:rPr>
        <w:t xml:space="preserve">## </w:t>
      </w:r>
      <w:r>
        <w:br/>
      </w:r>
      <w:r>
        <w:rPr>
          <w:rStyle w:val="VerbatimChar"/>
        </w:rPr>
        <w:t>##     guess_encoding</w:t>
      </w:r>
    </w:p>
    <w:p w14:paraId="56B3856B" w14:textId="77777777" w:rsidR="000B6C49" w:rsidRDefault="0009276C">
      <w:pPr>
        <w:pStyle w:val="SourceCode"/>
      </w:pPr>
      <w:r>
        <w:rPr>
          <w:rStyle w:val="KeywordTok"/>
        </w:rPr>
        <w:t>library</w:t>
      </w:r>
      <w:r>
        <w:rPr>
          <w:rStyle w:val="NormalTok"/>
        </w:rPr>
        <w:t>(dplyr)</w:t>
      </w:r>
      <w:r>
        <w:br/>
      </w:r>
      <w:r>
        <w:rPr>
          <w:rStyle w:val="KeywordTok"/>
        </w:rPr>
        <w:t>library</w:t>
      </w:r>
      <w:r>
        <w:rPr>
          <w:rStyle w:val="NormalTok"/>
        </w:rPr>
        <w:t>(ggplot2)</w:t>
      </w:r>
      <w:r>
        <w:br/>
      </w:r>
      <w:r>
        <w:rPr>
          <w:rStyle w:val="NormalTok"/>
        </w:rPr>
        <w:t>hot100page &lt;-</w:t>
      </w:r>
      <w:r>
        <w:rPr>
          <w:rStyle w:val="StringTok"/>
        </w:rPr>
        <w:t xml:space="preserve"> "https://www.billboard.com/charts/hot-100"</w:t>
      </w:r>
      <w:r>
        <w:br/>
      </w:r>
      <w:r>
        <w:rPr>
          <w:rStyle w:val="NormalTok"/>
        </w:rPr>
        <w:t>hot100exam &lt;-</w:t>
      </w:r>
      <w:r>
        <w:rPr>
          <w:rStyle w:val="StringTok"/>
        </w:rPr>
        <w:t xml:space="preserve"> </w:t>
      </w:r>
      <w:r>
        <w:rPr>
          <w:rStyle w:val="KeywordTok"/>
        </w:rPr>
        <w:t>read_html</w:t>
      </w:r>
      <w:r>
        <w:rPr>
          <w:rStyle w:val="NormalTok"/>
        </w:rPr>
        <w:t>(hot100page)</w:t>
      </w:r>
      <w:r>
        <w:br/>
      </w:r>
      <w:r>
        <w:rPr>
          <w:rStyle w:val="NormalTok"/>
        </w:rPr>
        <w:t>hot100exam</w:t>
      </w:r>
    </w:p>
    <w:p w14:paraId="401247F1" w14:textId="77777777" w:rsidR="000B6C49" w:rsidRDefault="0009276C">
      <w:pPr>
        <w:pStyle w:val="SourceCode"/>
      </w:pPr>
      <w:r>
        <w:rPr>
          <w:rStyle w:val="VerbatimChar"/>
        </w:rPr>
        <w:t>## {html_document}</w:t>
      </w:r>
      <w:r>
        <w:br/>
      </w:r>
      <w:r>
        <w:rPr>
          <w:rStyle w:val="VerbatimChar"/>
        </w:rPr>
        <w:t>## &lt;html class="" lang=""&gt;</w:t>
      </w:r>
      <w:r>
        <w:br/>
      </w:r>
      <w:r>
        <w:rPr>
          <w:rStyle w:val="VerbatimChar"/>
        </w:rPr>
        <w:t>## [1] &lt;head&gt;\n&lt;meta http-equiv="Content-Type" content="text/html; charset=UTF-8 ...</w:t>
      </w:r>
      <w:r>
        <w:br/>
      </w:r>
      <w:r>
        <w:rPr>
          <w:rStyle w:val="VerbatimChar"/>
        </w:rPr>
        <w:t>## [2] &lt;body class="chart-page chart-page-" data-trackcategory="Charts-TheHot100 ...</w:t>
      </w:r>
    </w:p>
    <w:p w14:paraId="185EBBE0" w14:textId="77777777" w:rsidR="000B6C49" w:rsidRDefault="0009276C">
      <w:pPr>
        <w:pStyle w:val="SourceCode"/>
      </w:pPr>
      <w:r>
        <w:rPr>
          <w:rStyle w:val="KeywordTok"/>
        </w:rPr>
        <w:t>str</w:t>
      </w:r>
      <w:r>
        <w:rPr>
          <w:rStyle w:val="NormalTok"/>
        </w:rPr>
        <w:t>(hot100exam)</w:t>
      </w:r>
    </w:p>
    <w:p w14:paraId="055A3341" w14:textId="77777777" w:rsidR="000B6C49" w:rsidRDefault="0009276C">
      <w:pPr>
        <w:pStyle w:val="SourceCode"/>
      </w:pPr>
      <w:r>
        <w:rPr>
          <w:rStyle w:val="VerbatimChar"/>
        </w:rPr>
        <w:t>## List of 2</w:t>
      </w:r>
      <w:r>
        <w:br/>
      </w:r>
      <w:r>
        <w:rPr>
          <w:rStyle w:val="VerbatimChar"/>
        </w:rPr>
        <w:t>##  $ node:</w:t>
      </w:r>
      <w:r>
        <w:rPr>
          <w:rStyle w:val="VerbatimChar"/>
        </w:rPr>
        <w:t xml:space="preserve">&lt;externalptr&gt; </w:t>
      </w:r>
      <w:r>
        <w:br/>
      </w:r>
      <w:r>
        <w:rPr>
          <w:rStyle w:val="VerbatimChar"/>
        </w:rPr>
        <w:t xml:space="preserve">##  $ doc :&lt;externalptr&gt; </w:t>
      </w:r>
      <w:r>
        <w:br/>
      </w:r>
      <w:r>
        <w:rPr>
          <w:rStyle w:val="VerbatimChar"/>
        </w:rPr>
        <w:t>##  - attr(*, "class")= chr [1:2] "xml_document" "xml_node"</w:t>
      </w:r>
    </w:p>
    <w:p w14:paraId="706D04E6" w14:textId="77777777" w:rsidR="000B6C49" w:rsidRDefault="0009276C">
      <w:pPr>
        <w:pStyle w:val="Compact"/>
        <w:numPr>
          <w:ilvl w:val="0"/>
          <w:numId w:val="15"/>
        </w:numPr>
      </w:pPr>
      <w:r>
        <w:t>Using rvest to obtain all of the nodes in the webpage</w:t>
      </w:r>
    </w:p>
    <w:p w14:paraId="2161E5EA" w14:textId="77777777" w:rsidR="000B6C49" w:rsidRDefault="0009276C">
      <w:pPr>
        <w:pStyle w:val="SourceCode"/>
      </w:pPr>
      <w:r>
        <w:rPr>
          <w:rStyle w:val="NormalTok"/>
        </w:rPr>
        <w:t>body_nodes &lt;-</w:t>
      </w:r>
      <w:r>
        <w:rPr>
          <w:rStyle w:val="StringTok"/>
        </w:rPr>
        <w:t xml:space="preserve"> </w:t>
      </w:r>
      <w:r>
        <w:rPr>
          <w:rStyle w:val="NormalTok"/>
        </w:rPr>
        <w:t xml:space="preserve">hot100exam </w:t>
      </w:r>
      <w:r>
        <w:rPr>
          <w:rStyle w:val="OperatorTok"/>
        </w:rPr>
        <w:t>%&gt;%</w:t>
      </w:r>
      <w:r>
        <w:br/>
      </w:r>
      <w:r>
        <w:rPr>
          <w:rStyle w:val="StringTok"/>
        </w:rPr>
        <w:t xml:space="preserve">  </w:t>
      </w:r>
      <w:r>
        <w:rPr>
          <w:rStyle w:val="KeywordTok"/>
        </w:rPr>
        <w:t>html_node</w:t>
      </w:r>
      <w:r>
        <w:rPr>
          <w:rStyle w:val="NormalTok"/>
        </w:rPr>
        <w:t>(</w:t>
      </w:r>
      <w:r>
        <w:rPr>
          <w:rStyle w:val="StringTok"/>
        </w:rPr>
        <w:t>"body"</w:t>
      </w:r>
      <w:r>
        <w:rPr>
          <w:rStyle w:val="NormalTok"/>
        </w:rPr>
        <w:t xml:space="preserve">) </w:t>
      </w:r>
      <w:r>
        <w:rPr>
          <w:rStyle w:val="OperatorTok"/>
        </w:rPr>
        <w:t>%&gt;%</w:t>
      </w:r>
      <w:r>
        <w:br/>
      </w:r>
      <w:r>
        <w:rPr>
          <w:rStyle w:val="StringTok"/>
        </w:rPr>
        <w:t xml:space="preserve">  </w:t>
      </w:r>
      <w:r>
        <w:rPr>
          <w:rStyle w:val="KeywordTok"/>
        </w:rPr>
        <w:t>html_children</w:t>
      </w:r>
      <w:r>
        <w:rPr>
          <w:rStyle w:val="NormalTok"/>
        </w:rPr>
        <w:t>()</w:t>
      </w:r>
      <w:r>
        <w:br/>
      </w:r>
      <w:r>
        <w:rPr>
          <w:rStyle w:val="NormalTok"/>
        </w:rPr>
        <w:t>body_nodes</w:t>
      </w:r>
    </w:p>
    <w:p w14:paraId="43BE0D50" w14:textId="77777777" w:rsidR="000B6C49" w:rsidRDefault="0009276C">
      <w:pPr>
        <w:pStyle w:val="SourceCode"/>
      </w:pPr>
      <w:r>
        <w:rPr>
          <w:rStyle w:val="VerbatimChar"/>
        </w:rPr>
        <w:t>## {xml_nodeset (36</w:t>
      </w:r>
      <w:r>
        <w:rPr>
          <w:rStyle w:val="VerbatimChar"/>
        </w:rPr>
        <w:t>)}</w:t>
      </w:r>
      <w:r>
        <w:br/>
      </w:r>
      <w:r>
        <w:rPr>
          <w:rStyle w:val="VerbatimChar"/>
        </w:rPr>
        <w:t>##  [1] &lt;div class="header-wrapper "&gt;\n&lt;header id="site-header" class="site-head ...</w:t>
      </w:r>
      <w:r>
        <w:br/>
      </w:r>
      <w:r>
        <w:rPr>
          <w:rStyle w:val="VerbatimChar"/>
        </w:rPr>
        <w:t>##  [2] &lt;div class="site-header__placeholder"&gt;&lt;/div&gt;</w:t>
      </w:r>
      <w:r>
        <w:br/>
      </w:r>
      <w:r>
        <w:rPr>
          <w:rStyle w:val="VerbatimChar"/>
        </w:rPr>
        <w:t>##  [3] &lt;script&gt;\n        var PGM = window.PGM || {};\n        PGM.config = PGM. ...</w:t>
      </w:r>
      <w:r>
        <w:br/>
      </w:r>
      <w:r>
        <w:rPr>
          <w:rStyle w:val="VerbatimChar"/>
        </w:rPr>
        <w:t>##  [4] &lt;div class="chart-pian</w:t>
      </w:r>
      <w:r>
        <w:rPr>
          <w:rStyle w:val="VerbatimChar"/>
        </w:rPr>
        <w:t>o-overlay__attachment-point"&gt;&lt;/div&gt;</w:t>
      </w:r>
      <w:r>
        <w:br/>
      </w:r>
      <w:r>
        <w:rPr>
          <w:rStyle w:val="VerbatimChar"/>
        </w:rPr>
        <w:lastRenderedPageBreak/>
        <w:t>##  [5] &lt;main id="main" class="page-content"&gt;&lt;div id="charts" data-page-title="T ...</w:t>
      </w:r>
      <w:r>
        <w:br/>
      </w:r>
      <w:r>
        <w:rPr>
          <w:rStyle w:val="VerbatimChar"/>
        </w:rPr>
        <w:t>##  [6] &lt;div class="ad_desktop dfp-ad dfp-ad-promo " data-position="promo" data- ...</w:t>
      </w:r>
      <w:r>
        <w:br/>
      </w:r>
      <w:r>
        <w:rPr>
          <w:rStyle w:val="VerbatimChar"/>
        </w:rPr>
        <w:t>##  [7] &lt;div class="ad-container footerboard foote</w:t>
      </w:r>
      <w:r>
        <w:rPr>
          <w:rStyle w:val="VerbatimChar"/>
        </w:rPr>
        <w:t>rboard--bottom"&gt;\n    &lt;div cla ...</w:t>
      </w:r>
      <w:r>
        <w:br/>
      </w:r>
      <w:r>
        <w:rPr>
          <w:rStyle w:val="VerbatimChar"/>
        </w:rPr>
        <w:t>##  [8] &lt;footer id="site-footer" class="site-footer"&gt;&lt;div class="container foote ...</w:t>
      </w:r>
      <w:r>
        <w:br/>
      </w:r>
      <w:r>
        <w:rPr>
          <w:rStyle w:val="VerbatimChar"/>
        </w:rPr>
        <w:t>##  [9] &lt;div class="biz-modal"&gt;\n    &lt;div class="biz-modal__content"&gt;\n        &lt; ...</w:t>
      </w:r>
      <w:r>
        <w:br/>
      </w:r>
      <w:r>
        <w:rPr>
          <w:rStyle w:val="VerbatimChar"/>
        </w:rPr>
        <w:t>## [10] &lt;script&gt;\n    window.CLARITY = window.CLARI</w:t>
      </w:r>
      <w:r>
        <w:rPr>
          <w:rStyle w:val="VerbatimChar"/>
        </w:rPr>
        <w:t>TY || [];\n&lt;/script&gt;</w:t>
      </w:r>
      <w:r>
        <w:br/>
      </w:r>
      <w:r>
        <w:rPr>
          <w:rStyle w:val="VerbatimChar"/>
        </w:rPr>
        <w:t>## [11] &lt;div class="ad_clarity" data-out-of-page="true" style="display: none;"&gt;&lt; ...</w:t>
      </w:r>
      <w:r>
        <w:br/>
      </w:r>
      <w:r>
        <w:rPr>
          <w:rStyle w:val="VerbatimChar"/>
        </w:rPr>
        <w:t>## [12] &lt;script&gt;\n    var darkMatterCMD = function() {\n        this.darkMatterC ...</w:t>
      </w:r>
      <w:r>
        <w:br/>
      </w:r>
      <w:r>
        <w:rPr>
          <w:rStyle w:val="VerbatimChar"/>
        </w:rPr>
        <w:t>## [13] &lt;script src="https://www.billboard.com/assets/1593527595/</w:t>
      </w:r>
      <w:r>
        <w:rPr>
          <w:rStyle w:val="VerbatimChar"/>
        </w:rPr>
        <w:t>js/vendors_/art ...</w:t>
      </w:r>
      <w:r>
        <w:br/>
      </w:r>
      <w:r>
        <w:rPr>
          <w:rStyle w:val="VerbatimChar"/>
        </w:rPr>
        <w:t>## [14] &lt;script src="https://www.billboard.com/assets/1593527595/js/vendors_/clo ...</w:t>
      </w:r>
      <w:r>
        <w:br/>
      </w:r>
      <w:r>
        <w:rPr>
          <w:rStyle w:val="VerbatimChar"/>
        </w:rPr>
        <w:t>## [15] &lt;script src="https://www.billboard.com/assets/1593527595/js/vendors_/rea ...</w:t>
      </w:r>
      <w:r>
        <w:br/>
      </w:r>
      <w:r>
        <w:rPr>
          <w:rStyle w:val="VerbatimChar"/>
        </w:rPr>
        <w:t>## [16] &lt;script src="https://www.billboard.com/assets/1593527595/j</w:t>
      </w:r>
      <w:r>
        <w:rPr>
          <w:rStyle w:val="VerbatimChar"/>
        </w:rPr>
        <w:t>s/vendors_/rea ...</w:t>
      </w:r>
      <w:r>
        <w:br/>
      </w:r>
      <w:r>
        <w:rPr>
          <w:rStyle w:val="VerbatimChar"/>
        </w:rPr>
        <w:t>## [17] &lt;script src="https://www.billboard.com/assets/1593527595/js/vendors_/rea ...</w:t>
      </w:r>
      <w:r>
        <w:br/>
      </w:r>
      <w:r>
        <w:rPr>
          <w:rStyle w:val="VerbatimChar"/>
        </w:rPr>
        <w:t>## [18] &lt;script src="https://www.billboard.com/assets/1593527595/js/vendors_/rea ...</w:t>
      </w:r>
      <w:r>
        <w:br/>
      </w:r>
      <w:r>
        <w:rPr>
          <w:rStyle w:val="VerbatimChar"/>
        </w:rPr>
        <w:t>## [19] &lt;script src="https://www.billboard.com/assets/1593527595/js</w:t>
      </w:r>
      <w:r>
        <w:rPr>
          <w:rStyle w:val="VerbatimChar"/>
        </w:rPr>
        <w:t>/default_/art ...</w:t>
      </w:r>
      <w:r>
        <w:br/>
      </w:r>
      <w:r>
        <w:rPr>
          <w:rStyle w:val="VerbatimChar"/>
        </w:rPr>
        <w:t>## [20] &lt;script src="https://www.billboard.com/assets/1593527595/js/default_/rea ...</w:t>
      </w:r>
      <w:r>
        <w:br/>
      </w:r>
      <w:r>
        <w:rPr>
          <w:rStyle w:val="VerbatimChar"/>
        </w:rPr>
        <w:t>## ...</w:t>
      </w:r>
    </w:p>
    <w:p w14:paraId="6D117E97" w14:textId="77777777" w:rsidR="000B6C49" w:rsidRDefault="0009276C">
      <w:pPr>
        <w:pStyle w:val="SourceCode"/>
      </w:pPr>
      <w:r>
        <w:rPr>
          <w:rStyle w:val="NormalTok"/>
        </w:rPr>
        <w:t xml:space="preserve">body_nodes </w:t>
      </w:r>
      <w:r>
        <w:rPr>
          <w:rStyle w:val="OperatorTok"/>
        </w:rPr>
        <w:t>%&gt;%</w:t>
      </w:r>
      <w:r>
        <w:br/>
      </w:r>
      <w:r>
        <w:rPr>
          <w:rStyle w:val="StringTok"/>
        </w:rPr>
        <w:t xml:space="preserve">  </w:t>
      </w:r>
      <w:r>
        <w:rPr>
          <w:rStyle w:val="KeywordTok"/>
        </w:rPr>
        <w:t>html_children</w:t>
      </w:r>
      <w:r>
        <w:rPr>
          <w:rStyle w:val="NormalTok"/>
        </w:rPr>
        <w:t>()</w:t>
      </w:r>
    </w:p>
    <w:p w14:paraId="53326077" w14:textId="77777777" w:rsidR="000B6C49" w:rsidRDefault="0009276C">
      <w:pPr>
        <w:pStyle w:val="SourceCode"/>
      </w:pPr>
      <w:r>
        <w:rPr>
          <w:rStyle w:val="VerbatimChar"/>
        </w:rPr>
        <w:t>## {xml_nodeset (9)}</w:t>
      </w:r>
      <w:r>
        <w:br/>
      </w:r>
      <w:r>
        <w:rPr>
          <w:rStyle w:val="VerbatimChar"/>
        </w:rPr>
        <w:t>## [1] &lt;header id="site-header" class="site-header " role="banner"&gt;&lt;div class="s ...</w:t>
      </w:r>
      <w:r>
        <w:br/>
      </w:r>
      <w:r>
        <w:rPr>
          <w:rStyle w:val="VerbatimChar"/>
        </w:rPr>
        <w:t>## [2] &lt;div class="header-wrapper__secondary-header"&gt;\n&lt;nav class="site-header-l ...</w:t>
      </w:r>
      <w:r>
        <w:br/>
      </w:r>
      <w:r>
        <w:rPr>
          <w:rStyle w:val="VerbatimChar"/>
        </w:rPr>
        <w:t>## [3] &lt;div id="charts" data-page-title="THE HOT 100" data-chart-code="HSI" data ...</w:t>
      </w:r>
      <w:r>
        <w:br/>
      </w:r>
      <w:r>
        <w:rPr>
          <w:rStyle w:val="VerbatimChar"/>
        </w:rPr>
        <w:t>#</w:t>
      </w:r>
      <w:r>
        <w:rPr>
          <w:rStyle w:val="VerbatimChar"/>
        </w:rPr>
        <w:t># [4] &lt;div class="footerboard-wrapper"&gt;\n        &lt;div class="ad_desktop_placeho ...</w:t>
      </w:r>
      <w:r>
        <w:br/>
      </w:r>
      <w:r>
        <w:rPr>
          <w:rStyle w:val="VerbatimChar"/>
        </w:rPr>
        <w:t>## [5] &lt;div class="container footer-content"&gt;\n\t\t\t\t\t&lt;div class="cover-image ...</w:t>
      </w:r>
      <w:r>
        <w:br/>
      </w:r>
      <w:r>
        <w:rPr>
          <w:rStyle w:val="VerbatimChar"/>
        </w:rPr>
        <w:t>## [6] &lt;div class="container"&gt;\n\t\t&lt;p class="copyright__paragraph"&gt;© 2020 Billb ...</w:t>
      </w:r>
      <w:r>
        <w:br/>
      </w:r>
      <w:r>
        <w:rPr>
          <w:rStyle w:val="VerbatimChar"/>
        </w:rPr>
        <w:t>##</w:t>
      </w:r>
      <w:r>
        <w:rPr>
          <w:rStyle w:val="VerbatimChar"/>
        </w:rPr>
        <w:t xml:space="preserve"> [7] &lt;div class="container"&gt;\n\t\t&lt;p class="station-</w:t>
      </w:r>
      <w:r>
        <w:rPr>
          <w:rStyle w:val="VerbatimChar"/>
        </w:rPr>
        <w:lastRenderedPageBreak/>
        <w:t>identification"&gt;\n\t\t\tBi ...</w:t>
      </w:r>
      <w:r>
        <w:br/>
      </w:r>
      <w:r>
        <w:rPr>
          <w:rStyle w:val="VerbatimChar"/>
        </w:rPr>
        <w:t>## [8] &lt;div class="container"&gt;\n\t\t\n\n\n    &lt;div class="ad_desktop dfp-ad dfp- ...</w:t>
      </w:r>
      <w:r>
        <w:br/>
      </w:r>
      <w:r>
        <w:rPr>
          <w:rStyle w:val="VerbatimChar"/>
        </w:rPr>
        <w:t>## [9] &lt;div class="biz-modal__content"&gt;\n        &lt;button class="biz-modal__close ...</w:t>
      </w:r>
    </w:p>
    <w:p w14:paraId="4EAB8793" w14:textId="77777777" w:rsidR="000B6C49" w:rsidRDefault="0009276C">
      <w:pPr>
        <w:pStyle w:val="Compact"/>
        <w:numPr>
          <w:ilvl w:val="0"/>
          <w:numId w:val="16"/>
        </w:numPr>
      </w:pPr>
      <w:r>
        <w:t>Pul</w:t>
      </w:r>
      <w:r>
        <w:t>ling data on rank, artist, title, and last week</w:t>
      </w:r>
    </w:p>
    <w:p w14:paraId="257D0425" w14:textId="77777777" w:rsidR="000B6C49" w:rsidRDefault="0009276C">
      <w:pPr>
        <w:pStyle w:val="SourceCode"/>
      </w:pPr>
      <w:r>
        <w:rPr>
          <w:rStyle w:val="NormalTok"/>
        </w:rPr>
        <w:t>rank &lt;-</w:t>
      </w:r>
      <w:r>
        <w:rPr>
          <w:rStyle w:val="StringTok"/>
        </w:rPr>
        <w:t xml:space="preserve"> </w:t>
      </w:r>
      <w:r>
        <w:rPr>
          <w:rStyle w:val="NormalTok"/>
        </w:rPr>
        <w:t xml:space="preserve">hot100exam </w:t>
      </w:r>
      <w:r>
        <w:rPr>
          <w:rStyle w:val="OperatorTok"/>
        </w:rPr>
        <w:t>%&gt;%</w:t>
      </w:r>
      <w:r>
        <w:br/>
      </w:r>
      <w:r>
        <w:rPr>
          <w:rStyle w:val="StringTok"/>
        </w:rPr>
        <w:t xml:space="preserve">  </w:t>
      </w:r>
      <w:r>
        <w:rPr>
          <w:rStyle w:val="NormalTok"/>
        </w:rPr>
        <w:t>rvest</w:t>
      </w:r>
      <w:r>
        <w:rPr>
          <w:rStyle w:val="OperatorTok"/>
        </w:rPr>
        <w:t>::</w:t>
      </w:r>
      <w:r>
        <w:rPr>
          <w:rStyle w:val="KeywordTok"/>
        </w:rPr>
        <w:t>html_nodes</w:t>
      </w:r>
      <w:r>
        <w:rPr>
          <w:rStyle w:val="NormalTok"/>
        </w:rPr>
        <w:t>(</w:t>
      </w:r>
      <w:r>
        <w:rPr>
          <w:rStyle w:val="StringTok"/>
        </w:rPr>
        <w:t>'body'</w:t>
      </w:r>
      <w:r>
        <w:rPr>
          <w:rStyle w:val="NormalTok"/>
        </w:rPr>
        <w:t xml:space="preserve">) </w:t>
      </w:r>
      <w:r>
        <w:rPr>
          <w:rStyle w:val="OperatorTok"/>
        </w:rPr>
        <w:t>%&gt;%</w:t>
      </w:r>
      <w:r>
        <w:br/>
      </w:r>
      <w:r>
        <w:rPr>
          <w:rStyle w:val="StringTok"/>
        </w:rPr>
        <w:t xml:space="preserve">  </w:t>
      </w:r>
      <w:r>
        <w:rPr>
          <w:rStyle w:val="NormalTok"/>
        </w:rPr>
        <w:t>xml2</w:t>
      </w:r>
      <w:r>
        <w:rPr>
          <w:rStyle w:val="OperatorTok"/>
        </w:rPr>
        <w:t>::</w:t>
      </w:r>
      <w:r>
        <w:rPr>
          <w:rStyle w:val="KeywordTok"/>
        </w:rPr>
        <w:t>xml_find_all</w:t>
      </w:r>
      <w:r>
        <w:rPr>
          <w:rStyle w:val="NormalTok"/>
        </w:rPr>
        <w:t>(</w:t>
      </w:r>
      <w:r>
        <w:rPr>
          <w:rStyle w:val="StringTok"/>
        </w:rPr>
        <w:t>"//span[contains(@class,</w:t>
      </w:r>
      <w:r>
        <w:br/>
      </w:r>
      <w:r>
        <w:rPr>
          <w:rStyle w:val="StringTok"/>
        </w:rPr>
        <w:t xml:space="preserve">                     'chart-element__rank__number')]"</w:t>
      </w:r>
      <w:r>
        <w:rPr>
          <w:rStyle w:val="NormalTok"/>
        </w:rPr>
        <w:t xml:space="preserve">) </w:t>
      </w:r>
      <w:r>
        <w:rPr>
          <w:rStyle w:val="OperatorTok"/>
        </w:rPr>
        <w:t>%&gt;%</w:t>
      </w:r>
      <w:r>
        <w:br/>
      </w:r>
      <w:r>
        <w:rPr>
          <w:rStyle w:val="StringTok"/>
        </w:rPr>
        <w:t xml:space="preserve">  </w:t>
      </w:r>
      <w:r>
        <w:rPr>
          <w:rStyle w:val="NormalTok"/>
        </w:rPr>
        <w:t>rvest</w:t>
      </w:r>
      <w:r>
        <w:rPr>
          <w:rStyle w:val="OperatorTok"/>
        </w:rPr>
        <w:t>::</w:t>
      </w:r>
      <w:r>
        <w:rPr>
          <w:rStyle w:val="KeywordTok"/>
        </w:rPr>
        <w:t>html_text</w:t>
      </w:r>
      <w:r>
        <w:rPr>
          <w:rStyle w:val="NormalTok"/>
        </w:rPr>
        <w:t>()</w:t>
      </w:r>
      <w:r>
        <w:br/>
      </w:r>
      <w:r>
        <w:br/>
      </w:r>
      <w:r>
        <w:rPr>
          <w:rStyle w:val="NormalTok"/>
        </w:rPr>
        <w:t>artist &lt;-</w:t>
      </w:r>
      <w:r>
        <w:rPr>
          <w:rStyle w:val="StringTok"/>
        </w:rPr>
        <w:t xml:space="preserve"> </w:t>
      </w:r>
      <w:r>
        <w:rPr>
          <w:rStyle w:val="NormalTok"/>
        </w:rPr>
        <w:t xml:space="preserve">hot100exam </w:t>
      </w:r>
      <w:r>
        <w:rPr>
          <w:rStyle w:val="OperatorTok"/>
        </w:rPr>
        <w:t>%&gt;%</w:t>
      </w:r>
      <w:r>
        <w:br/>
      </w:r>
      <w:r>
        <w:rPr>
          <w:rStyle w:val="StringTok"/>
        </w:rPr>
        <w:t xml:space="preserve"> </w:t>
      </w:r>
      <w:r>
        <w:rPr>
          <w:rStyle w:val="StringTok"/>
        </w:rPr>
        <w:t xml:space="preserve"> </w:t>
      </w:r>
      <w:r>
        <w:rPr>
          <w:rStyle w:val="NormalTok"/>
        </w:rPr>
        <w:t>rvest</w:t>
      </w:r>
      <w:r>
        <w:rPr>
          <w:rStyle w:val="OperatorTok"/>
        </w:rPr>
        <w:t>::</w:t>
      </w:r>
      <w:r>
        <w:rPr>
          <w:rStyle w:val="KeywordTok"/>
        </w:rPr>
        <w:t>html_nodes</w:t>
      </w:r>
      <w:r>
        <w:rPr>
          <w:rStyle w:val="NormalTok"/>
        </w:rPr>
        <w:t>(</w:t>
      </w:r>
      <w:r>
        <w:rPr>
          <w:rStyle w:val="StringTok"/>
        </w:rPr>
        <w:t>'body'</w:t>
      </w:r>
      <w:r>
        <w:rPr>
          <w:rStyle w:val="NormalTok"/>
        </w:rPr>
        <w:t xml:space="preserve">) </w:t>
      </w:r>
      <w:r>
        <w:rPr>
          <w:rStyle w:val="OperatorTok"/>
        </w:rPr>
        <w:t>%&gt;%</w:t>
      </w:r>
      <w:r>
        <w:br/>
      </w:r>
      <w:r>
        <w:rPr>
          <w:rStyle w:val="StringTok"/>
        </w:rPr>
        <w:t xml:space="preserve">  </w:t>
      </w:r>
      <w:r>
        <w:rPr>
          <w:rStyle w:val="NormalTok"/>
        </w:rPr>
        <w:t>xml2</w:t>
      </w:r>
      <w:r>
        <w:rPr>
          <w:rStyle w:val="OperatorTok"/>
        </w:rPr>
        <w:t>::</w:t>
      </w:r>
      <w:r>
        <w:rPr>
          <w:rStyle w:val="KeywordTok"/>
        </w:rPr>
        <w:t>xml_find_all</w:t>
      </w:r>
      <w:r>
        <w:rPr>
          <w:rStyle w:val="NormalTok"/>
        </w:rPr>
        <w:t>(</w:t>
      </w:r>
      <w:r>
        <w:rPr>
          <w:rStyle w:val="StringTok"/>
        </w:rPr>
        <w:t>"//span[contains(@class,</w:t>
      </w:r>
      <w:r>
        <w:br/>
      </w:r>
      <w:r>
        <w:rPr>
          <w:rStyle w:val="StringTok"/>
        </w:rPr>
        <w:t xml:space="preserve">                     'chart-element__information__artist')]"</w:t>
      </w:r>
      <w:r>
        <w:rPr>
          <w:rStyle w:val="NormalTok"/>
        </w:rPr>
        <w:t xml:space="preserve">) </w:t>
      </w:r>
      <w:r>
        <w:rPr>
          <w:rStyle w:val="OperatorTok"/>
        </w:rPr>
        <w:t>%&gt;%</w:t>
      </w:r>
      <w:r>
        <w:br/>
      </w:r>
      <w:r>
        <w:rPr>
          <w:rStyle w:val="StringTok"/>
        </w:rPr>
        <w:t xml:space="preserve">  </w:t>
      </w:r>
      <w:r>
        <w:rPr>
          <w:rStyle w:val="NormalTok"/>
        </w:rPr>
        <w:t>rvest</w:t>
      </w:r>
      <w:r>
        <w:rPr>
          <w:rStyle w:val="OperatorTok"/>
        </w:rPr>
        <w:t>::</w:t>
      </w:r>
      <w:r>
        <w:rPr>
          <w:rStyle w:val="KeywordTok"/>
        </w:rPr>
        <w:t>html_text</w:t>
      </w:r>
      <w:r>
        <w:rPr>
          <w:rStyle w:val="NormalTok"/>
        </w:rPr>
        <w:t>()</w:t>
      </w:r>
      <w:r>
        <w:br/>
      </w:r>
      <w:r>
        <w:br/>
      </w:r>
      <w:r>
        <w:rPr>
          <w:rStyle w:val="NormalTok"/>
        </w:rPr>
        <w:t>title &lt;-</w:t>
      </w:r>
      <w:r>
        <w:rPr>
          <w:rStyle w:val="StringTok"/>
        </w:rPr>
        <w:t xml:space="preserve"> </w:t>
      </w:r>
      <w:r>
        <w:rPr>
          <w:rStyle w:val="NormalTok"/>
        </w:rPr>
        <w:t xml:space="preserve">hot100exam </w:t>
      </w:r>
      <w:r>
        <w:rPr>
          <w:rStyle w:val="OperatorTok"/>
        </w:rPr>
        <w:t>%&gt;%</w:t>
      </w:r>
      <w:r>
        <w:br/>
      </w:r>
      <w:r>
        <w:rPr>
          <w:rStyle w:val="StringTok"/>
        </w:rPr>
        <w:t xml:space="preserve">  </w:t>
      </w:r>
      <w:r>
        <w:rPr>
          <w:rStyle w:val="NormalTok"/>
        </w:rPr>
        <w:t>rvest</w:t>
      </w:r>
      <w:r>
        <w:rPr>
          <w:rStyle w:val="OperatorTok"/>
        </w:rPr>
        <w:t>::</w:t>
      </w:r>
      <w:r>
        <w:rPr>
          <w:rStyle w:val="KeywordTok"/>
        </w:rPr>
        <w:t>html_nodes</w:t>
      </w:r>
      <w:r>
        <w:rPr>
          <w:rStyle w:val="NormalTok"/>
        </w:rPr>
        <w:t>(</w:t>
      </w:r>
      <w:r>
        <w:rPr>
          <w:rStyle w:val="StringTok"/>
        </w:rPr>
        <w:t>'body'</w:t>
      </w:r>
      <w:r>
        <w:rPr>
          <w:rStyle w:val="NormalTok"/>
        </w:rPr>
        <w:t xml:space="preserve">) </w:t>
      </w:r>
      <w:r>
        <w:rPr>
          <w:rStyle w:val="OperatorTok"/>
        </w:rPr>
        <w:t>%&gt;%</w:t>
      </w:r>
      <w:r>
        <w:br/>
      </w:r>
      <w:r>
        <w:rPr>
          <w:rStyle w:val="StringTok"/>
        </w:rPr>
        <w:t xml:space="preserve">  </w:t>
      </w:r>
      <w:r>
        <w:rPr>
          <w:rStyle w:val="NormalTok"/>
        </w:rPr>
        <w:t>xml2</w:t>
      </w:r>
      <w:r>
        <w:rPr>
          <w:rStyle w:val="OperatorTok"/>
        </w:rPr>
        <w:t>::</w:t>
      </w:r>
      <w:r>
        <w:rPr>
          <w:rStyle w:val="KeywordTok"/>
        </w:rPr>
        <w:t>xml_find_all</w:t>
      </w:r>
      <w:r>
        <w:rPr>
          <w:rStyle w:val="NormalTok"/>
        </w:rPr>
        <w:t>(</w:t>
      </w:r>
      <w:r>
        <w:rPr>
          <w:rStyle w:val="StringTok"/>
        </w:rPr>
        <w:t>"//span[contains(@class,</w:t>
      </w:r>
      <w:r>
        <w:br/>
      </w:r>
      <w:r>
        <w:rPr>
          <w:rStyle w:val="StringTok"/>
        </w:rPr>
        <w:t xml:space="preserve">                     'chart-element__information__song')]"</w:t>
      </w:r>
      <w:r>
        <w:rPr>
          <w:rStyle w:val="NormalTok"/>
        </w:rPr>
        <w:t xml:space="preserve">) </w:t>
      </w:r>
      <w:r>
        <w:rPr>
          <w:rStyle w:val="OperatorTok"/>
        </w:rPr>
        <w:t>%&gt;%</w:t>
      </w:r>
      <w:r>
        <w:br/>
      </w:r>
      <w:r>
        <w:rPr>
          <w:rStyle w:val="StringTok"/>
        </w:rPr>
        <w:t xml:space="preserve">  </w:t>
      </w:r>
      <w:r>
        <w:rPr>
          <w:rStyle w:val="NormalTok"/>
        </w:rPr>
        <w:t>rvest</w:t>
      </w:r>
      <w:r>
        <w:rPr>
          <w:rStyle w:val="OperatorTok"/>
        </w:rPr>
        <w:t>::</w:t>
      </w:r>
      <w:r>
        <w:rPr>
          <w:rStyle w:val="KeywordTok"/>
        </w:rPr>
        <w:t>html_text</w:t>
      </w:r>
      <w:r>
        <w:rPr>
          <w:rStyle w:val="NormalTok"/>
        </w:rPr>
        <w:t>()</w:t>
      </w:r>
      <w:r>
        <w:br/>
      </w:r>
      <w:r>
        <w:br/>
      </w:r>
      <w:r>
        <w:rPr>
          <w:rStyle w:val="NormalTok"/>
        </w:rPr>
        <w:t>last_week &lt;-</w:t>
      </w:r>
      <w:r>
        <w:rPr>
          <w:rStyle w:val="StringTok"/>
        </w:rPr>
        <w:t xml:space="preserve"> </w:t>
      </w:r>
      <w:r>
        <w:rPr>
          <w:rStyle w:val="NormalTok"/>
        </w:rPr>
        <w:t xml:space="preserve">hot100exam </w:t>
      </w:r>
      <w:r>
        <w:rPr>
          <w:rStyle w:val="OperatorTok"/>
        </w:rPr>
        <w:t>%&gt;%</w:t>
      </w:r>
      <w:r>
        <w:br/>
      </w:r>
      <w:r>
        <w:rPr>
          <w:rStyle w:val="StringTok"/>
        </w:rPr>
        <w:t xml:space="preserve">  </w:t>
      </w:r>
      <w:r>
        <w:rPr>
          <w:rStyle w:val="NormalTok"/>
        </w:rPr>
        <w:t>rvest</w:t>
      </w:r>
      <w:r>
        <w:rPr>
          <w:rStyle w:val="OperatorTok"/>
        </w:rPr>
        <w:t>::</w:t>
      </w:r>
      <w:r>
        <w:rPr>
          <w:rStyle w:val="KeywordTok"/>
        </w:rPr>
        <w:t>html_nodes</w:t>
      </w:r>
      <w:r>
        <w:rPr>
          <w:rStyle w:val="NormalTok"/>
        </w:rPr>
        <w:t>(</w:t>
      </w:r>
      <w:r>
        <w:rPr>
          <w:rStyle w:val="StringTok"/>
        </w:rPr>
        <w:t>'body'</w:t>
      </w:r>
      <w:r>
        <w:rPr>
          <w:rStyle w:val="NormalTok"/>
        </w:rPr>
        <w:t xml:space="preserve">) </w:t>
      </w:r>
      <w:r>
        <w:rPr>
          <w:rStyle w:val="OperatorTok"/>
        </w:rPr>
        <w:t>%&gt;%</w:t>
      </w:r>
      <w:r>
        <w:br/>
      </w:r>
      <w:r>
        <w:rPr>
          <w:rStyle w:val="StringTok"/>
        </w:rPr>
        <w:t xml:space="preserve">  </w:t>
      </w:r>
      <w:r>
        <w:rPr>
          <w:rStyle w:val="NormalTok"/>
        </w:rPr>
        <w:t>xml2</w:t>
      </w:r>
      <w:r>
        <w:rPr>
          <w:rStyle w:val="OperatorTok"/>
        </w:rPr>
        <w:t>::</w:t>
      </w:r>
      <w:r>
        <w:rPr>
          <w:rStyle w:val="KeywordTok"/>
        </w:rPr>
        <w:t>xml_find_all</w:t>
      </w:r>
      <w:r>
        <w:rPr>
          <w:rStyle w:val="NormalTok"/>
        </w:rPr>
        <w:t>(</w:t>
      </w:r>
      <w:r>
        <w:rPr>
          <w:rStyle w:val="StringTok"/>
        </w:rPr>
        <w:t>"//button[contains(@class,</w:t>
      </w:r>
      <w:r>
        <w:br/>
      </w:r>
      <w:r>
        <w:rPr>
          <w:rStyle w:val="StringTok"/>
        </w:rPr>
        <w:t xml:space="preserve">                    'chart-sorter__bu</w:t>
      </w:r>
      <w:r>
        <w:rPr>
          <w:rStyle w:val="StringTok"/>
        </w:rPr>
        <w:t>tton')]"</w:t>
      </w:r>
      <w:r>
        <w:rPr>
          <w:rStyle w:val="NormalTok"/>
        </w:rPr>
        <w:t xml:space="preserve">) </w:t>
      </w:r>
      <w:r>
        <w:rPr>
          <w:rStyle w:val="OperatorTok"/>
        </w:rPr>
        <w:t>%&gt;%</w:t>
      </w:r>
      <w:r>
        <w:br/>
      </w:r>
      <w:r>
        <w:rPr>
          <w:rStyle w:val="StringTok"/>
        </w:rPr>
        <w:t xml:space="preserve">  </w:t>
      </w:r>
      <w:r>
        <w:rPr>
          <w:rStyle w:val="NormalTok"/>
        </w:rPr>
        <w:t>rvest</w:t>
      </w:r>
      <w:r>
        <w:rPr>
          <w:rStyle w:val="OperatorTok"/>
        </w:rPr>
        <w:t>::</w:t>
      </w:r>
      <w:r>
        <w:rPr>
          <w:rStyle w:val="KeywordTok"/>
        </w:rPr>
        <w:t>html_text</w:t>
      </w:r>
      <w:r>
        <w:rPr>
          <w:rStyle w:val="NormalTok"/>
        </w:rPr>
        <w:t>()</w:t>
      </w:r>
    </w:p>
    <w:sectPr w:rsidR="000B6C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84043" w14:textId="77777777" w:rsidR="0009276C" w:rsidRDefault="0009276C">
      <w:pPr>
        <w:spacing w:after="0"/>
      </w:pPr>
      <w:r>
        <w:separator/>
      </w:r>
    </w:p>
  </w:endnote>
  <w:endnote w:type="continuationSeparator" w:id="0">
    <w:p w14:paraId="10738F3E" w14:textId="77777777" w:rsidR="0009276C" w:rsidRDefault="00092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D26B5" w14:textId="77777777" w:rsidR="0009276C" w:rsidRDefault="0009276C">
      <w:r>
        <w:separator/>
      </w:r>
    </w:p>
  </w:footnote>
  <w:footnote w:type="continuationSeparator" w:id="0">
    <w:p w14:paraId="04FF37C1" w14:textId="77777777" w:rsidR="0009276C" w:rsidRDefault="00092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3ED4E048"/>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1" w15:restartNumberingAfterBreak="0">
    <w:nsid w:val="8A296D99"/>
    <w:multiLevelType w:val="multilevel"/>
    <w:tmpl w:val="9018896A"/>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2" w15:restartNumberingAfterBreak="0">
    <w:nsid w:val="8C1C03F9"/>
    <w:multiLevelType w:val="multilevel"/>
    <w:tmpl w:val="2490F742"/>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3" w15:restartNumberingAfterBreak="0">
    <w:nsid w:val="91A27D85"/>
    <w:multiLevelType w:val="multilevel"/>
    <w:tmpl w:val="FAF885D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B3CBBDEE"/>
    <w:multiLevelType w:val="multilevel"/>
    <w:tmpl w:val="1D20ADF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DA4300BD"/>
    <w:multiLevelType w:val="multilevel"/>
    <w:tmpl w:val="C6A2BC7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6" w15:restartNumberingAfterBreak="0">
    <w:nsid w:val="EA454B4C"/>
    <w:multiLevelType w:val="multilevel"/>
    <w:tmpl w:val="6C3A56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238D8174"/>
    <w:multiLevelType w:val="multilevel"/>
    <w:tmpl w:val="B46C16E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2C1AE401"/>
    <w:multiLevelType w:val="multilevel"/>
    <w:tmpl w:val="0FE40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D500ED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0" w15:restartNumberingAfterBreak="0">
    <w:nsid w:val="47261BAD"/>
    <w:multiLevelType w:val="multilevel"/>
    <w:tmpl w:val="A2C83B9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1" w15:restartNumberingAfterBreak="0">
    <w:nsid w:val="4FBE019A"/>
    <w:multiLevelType w:val="multilevel"/>
    <w:tmpl w:val="454018B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15:restartNumberingAfterBreak="0">
    <w:nsid w:val="5504A012"/>
    <w:multiLevelType w:val="multilevel"/>
    <w:tmpl w:val="5346F60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3" w15:restartNumberingAfterBreak="0">
    <w:nsid w:val="5A538D88"/>
    <w:multiLevelType w:val="multilevel"/>
    <w:tmpl w:val="3C5C020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4" w15:restartNumberingAfterBreak="0">
    <w:nsid w:val="615F1ED2"/>
    <w:multiLevelType w:val="multilevel"/>
    <w:tmpl w:val="E49E3F3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5" w15:restartNumberingAfterBreak="0">
    <w:nsid w:val="71315DCA"/>
    <w:multiLevelType w:val="multilevel"/>
    <w:tmpl w:val="AEF43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abstractNumId w:val="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
    <w:abstractNumId w:val="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3">
    <w:abstractNumId w:val="12"/>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4">
    <w:abstractNumId w:val="1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5">
    <w:abstractNumId w:val="1"/>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6">
    <w:abstractNumId w:val="0"/>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76C"/>
    <w:rsid w:val="000B6C49"/>
    <w:rsid w:val="004E29B3"/>
    <w:rsid w:val="00590D07"/>
    <w:rsid w:val="00784D58"/>
    <w:rsid w:val="008D6863"/>
    <w:rsid w:val="00B86B75"/>
    <w:rsid w:val="00BC48D5"/>
    <w:rsid w:val="00C36279"/>
    <w:rsid w:val="00C374C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C686"/>
  <w15:docId w15:val="{85F1533F-DFE0-4FBE-BDDE-167E7E65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51451</Words>
  <Characters>293275</Characters>
  <Application>Microsoft Office Word</Application>
  <DocSecurity>0</DocSecurity>
  <Lines>2443</Lines>
  <Paragraphs>688</Paragraphs>
  <ScaleCrop>false</ScaleCrop>
  <Company/>
  <LinksUpToDate>false</LinksUpToDate>
  <CharactersWithSpaces>344038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Exam3</dc:title>
  <dc:creator>Clay Cavanaugh</dc:creator>
  <cp:keywords/>
  <cp:lastModifiedBy>Clay</cp:lastModifiedBy>
  <cp:revision>2</cp:revision>
  <dcterms:created xsi:type="dcterms:W3CDTF">2020-07-10T02:26:00Z</dcterms:created>
  <dcterms:modified xsi:type="dcterms:W3CDTF">2020-07-10T02:26:00Z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word_document</vt:lpwstr>
  </property>
</Properties>
</file>