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7777777"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8F1726">
        <w:rPr>
          <w:highlight w:val="yellow"/>
        </w:rPr>
        <w:t>MODEL</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 xml:space="preserve">the humification index (HIX) (Zsolnay et al. 1999; Huguet et al. 2009), the biological freshness index (BIX) (Huguet et al. 2009),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77777777"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C2215B">
        <w:t>to represent differences in bioavailability</w:t>
      </w:r>
      <w:r w:rsidR="0052731C">
        <w:t>,</w:t>
      </w:r>
      <w:r>
        <w:t xml:space="preserve"> glucose, arabinose, cel</w:t>
      </w:r>
      <w:r w:rsidR="0052731C">
        <w:t>lobiose, or a no-carbon control</w:t>
      </w:r>
      <w:r w:rsidR="000136A9">
        <w:t xml:space="preserve"> (n=8 each).  The </w:t>
      </w:r>
      <w:r w:rsidR="0052731C">
        <w:t xml:space="preserve">NDS </w:t>
      </w:r>
      <w:r w:rsidR="000136A9">
        <w:t xml:space="preserve">were </w:t>
      </w:r>
      <w:r w:rsidR="0052731C">
        <w:t>supplemented with 0.5 N as NH</w:t>
      </w:r>
      <w:r w:rsidR="0052731C" w:rsidRPr="0052731C">
        <w:rPr>
          <w:vertAlign w:val="subscript"/>
        </w:rPr>
        <w:t>4</w:t>
      </w:r>
      <w:r w:rsidR="0052731C">
        <w:t>Cl and 0.5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in PVC to shade them and reduce the potential for autotrophic biofilms to colonize the glass disks, and they were deployed for two weeks.  Upon collection the samples were sent overnight on ice for </w:t>
      </w:r>
      <w:r w:rsidR="00016571">
        <w:t xml:space="preserve">laboratory </w:t>
      </w:r>
      <w:r w:rsidR="000136A9">
        <w:t>analysis within 24 h.</w:t>
      </w:r>
    </w:p>
    <w:p w14:paraId="027D84FD" w14:textId="77777777" w:rsidR="000136A9" w:rsidRDefault="000136A9">
      <w:r>
        <w:t xml:space="preserve">Laboratory analysis consisted of incubating disks in the dark in water collected from the site, and net oxygen change was calculated from the start to the end of the incubation.  The glass disks were saved for calculation of biomass after weighing oven-dried (60 °C) samples before and after combustion in a muffle furnace (500 °C).  </w:t>
      </w:r>
      <w:r w:rsidR="00016571">
        <w:t>The respiration response was scaled by disk area (mg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xml:space="preserve">) and by </w:t>
      </w:r>
      <w:r w:rsidR="00016571">
        <w:lastRenderedPageBreak/>
        <w:t>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77777777"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NDIR detection (Shimadzo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1BA25E9A" w:rsidR="002802C7" w:rsidRDefault="002802C7">
      <w:r>
        <w:t>We collected 10-20 samples of organic matter from different habitat units in a stratified-random sampling design.  Samples for coarse (&gt;1 mm), fine (&lt;1 mm), and attached (i.e., periphyton) organic matter was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7B12E804"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and a subset of tiles was analyzed for total bacterial counts using qPCR, described in detail in Beaulieu et al. (2014).  </w:t>
      </w:r>
    </w:p>
    <w:p w14:paraId="6863B982" w14:textId="77777777" w:rsidR="00677634" w:rsidRDefault="00751875">
      <w:r>
        <w:lastRenderedPageBreak/>
        <w:t>Statistical Analysis</w:t>
      </w:r>
    </w:p>
    <w:p w14:paraId="54D0A0C5" w14:textId="1446E664"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ecoenzyme activity (POX,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 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t>Patterns in extracellular enzyme activity</w:t>
      </w:r>
    </w:p>
    <w:p w14:paraId="2269862E" w14:textId="110EF072" w:rsidR="009574E4" w:rsidRDefault="009574E4" w:rsidP="009574E4">
      <w:r>
        <w:lastRenderedPageBreak/>
        <w:t>We deployed standard tiles for microbes to colonize for 5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w:t>
      </w:r>
      <w:r w:rsidR="00461D0C">
        <w:t xml:space="preserve"> </w:t>
      </w:r>
      <w:r w:rsidR="00461D0C">
        <w:t>when we expressed DOPAH</w:t>
      </w:r>
      <w:r w:rsidR="0039566E">
        <w:t>2</w:t>
      </w:r>
      <w:r w:rsidR="00461D0C">
        <w:t xml:space="preserve"> per unit dry mass</w:t>
      </w:r>
      <w:r w:rsidR="00461D0C">
        <w:t xml:space="preserve"> (Figure 4</w:t>
      </w:r>
      <w:r w:rsidR="000860E0">
        <w:t>a</w:t>
      </w:r>
      <w:r w:rsidR="00461D0C">
        <w:t>) or per unit carbon (data not shown)</w:t>
      </w:r>
      <w:r>
        <w:t>.</w:t>
      </w:r>
      <w:r w:rsidR="00461D0C">
        <w:t xml:space="preserve">  </w:t>
      </w:r>
      <w:r w:rsidR="000860E0">
        <w:t xml:space="preserve">We found a similar pattern in the polyphenol oxidase (POX) extracellular enzyme activity.  POX is an alternate metric of recalcitrant carbon use, and </w:t>
      </w:r>
      <w:r w:rsidR="000860E0">
        <w:t>we found higher POX in buried reaches compared to open reaches (GLS, p=0.0043)</w:t>
      </w:r>
      <w:r w:rsidR="000860E0">
        <w:t xml:space="preserve"> (Figure 4b).</w:t>
      </w:r>
    </w:p>
    <w:p w14:paraId="62356957" w14:textId="54686489" w:rsidR="00B212C3" w:rsidRDefault="00B212C3" w:rsidP="00B212C3">
      <w:r>
        <w:t>We found no evidence of spatio-temporal differences in extracellular enzyme activity (EEA) associated with labile carbon use.  However, when w</w:t>
      </w:r>
      <w:r>
        <w:t>e composited metrics of carbon use together to calculate the LCI, an index of carbon lability that compares recalcitrant carbon use to total carbon use</w:t>
      </w:r>
      <w:r>
        <w:t>, we f</w:t>
      </w:r>
      <w:r>
        <w:t>ound that buried reaches had higher use of recalcitrant carbon (GLS, p=0.014), and we also found that summer had greater use of recalcitrant carbon than autumn</w:t>
      </w:r>
      <w:r>
        <w:t xml:space="preserve"> </w:t>
      </w:r>
      <w:r>
        <w:t>(GLS, p=0.027)</w:t>
      </w:r>
      <w:r>
        <w:t xml:space="preserve">.  There </w:t>
      </w:r>
      <w:r>
        <w:t>were no differences between spring and autumn</w:t>
      </w:r>
      <w:r>
        <w:t xml:space="preserve"> (Figure 5)</w:t>
      </w:r>
      <w:r>
        <w:t>.</w:t>
      </w:r>
      <w:r>
        <w:t xml:space="preserve">  The LCI was also correlated to </w:t>
      </w:r>
      <w:r>
        <w:t>the CQI</w:t>
      </w:r>
      <w:r w:rsidR="00FC20FD">
        <w:t>,</w:t>
      </w:r>
      <w:r>
        <w:t xml:space="preserve"> </w:t>
      </w:r>
      <w:r w:rsidR="00FC20FD">
        <w:t xml:space="preserve">an alternate </w:t>
      </w:r>
      <w:r>
        <w:t xml:space="preserve">carbon quality index </w:t>
      </w:r>
      <w:r>
        <w:t>derived from EEA on different substrates</w:t>
      </w:r>
      <w:r w:rsidR="00FC20FD">
        <w:t xml:space="preserve"> </w:t>
      </w:r>
      <w:r w:rsidR="00FC20FD">
        <w:t>(data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w:t>
      </w:r>
      <w:r>
        <w:t>.  W</w:t>
      </w:r>
      <w:r>
        <w:t>e measured highest values in the autumn, intermediate values in summer, and lowest values in spring with all seasons significantly different from each other (GLS, p&lt;&lt;0.0001)</w:t>
      </w:r>
      <w:r>
        <w:t>, but there were no differences between reaches (Figure 6)</w:t>
      </w:r>
      <w:r>
        <w:t>.</w:t>
      </w:r>
    </w:p>
    <w:p w14:paraId="2A9005D1" w14:textId="7FD5F9F8" w:rsidR="005A5B38" w:rsidRDefault="005A5B38" w:rsidP="00217DFF">
      <w:r>
        <w:t>Carbon limitation</w:t>
      </w:r>
    </w:p>
    <w:p w14:paraId="5B09A671" w14:textId="77777777" w:rsidR="005A5B38" w:rsidRDefault="005A5B38" w:rsidP="00217DFF">
      <w:r>
        <w:t xml:space="preserve">We deployed NDS amended with different carbon sources (glucose, arabinose, cellobiose, and a no-carbon control) to see if patterns in carbon limitation differed between buried and open stream reaches or </w:t>
      </w:r>
      <w:r>
        <w:t>among seasons</w:t>
      </w:r>
      <w:r>
        <w:t xml:space="preserve">.  </w:t>
      </w:r>
      <w:r>
        <w:t>Unfortunately, the NDS we deployed during summer were washed away by thunderstorms that produced very flashy runoff in these urban streams dominated by impervious surface cover.  Therefore, we</w:t>
      </w:r>
      <w:r>
        <w:t xml:space="preserve"> focus</w:t>
      </w:r>
      <w:r>
        <w:t xml:space="preserve"> our analysis </w:t>
      </w:r>
      <w:r>
        <w:t xml:space="preserve">on autumn and spring to contrast the carbon limitation response to a time when leaf inputs dominate compared to when </w:t>
      </w:r>
      <w:r>
        <w:t>vernal algae blooms dominate.</w:t>
      </w:r>
    </w:p>
    <w:p w14:paraId="723BEBE7" w14:textId="3703ADC7" w:rsidR="005A5B38" w:rsidRDefault="005A5B38" w:rsidP="00217DFF">
      <w:r>
        <w:t>When respiration on NDS disks was scaled by biomass (</w:t>
      </w:r>
      <w:r w:rsidRPr="004E59C4">
        <w:rPr>
          <w:rFonts w:ascii="Symbol" w:hAnsi="Symbol"/>
        </w:rPr>
        <w:t></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p&gt;&gt;0.001)</w:t>
      </w:r>
      <w:r>
        <w:t xml:space="preserve">, and we found </w:t>
      </w:r>
      <w:r>
        <w:t xml:space="preserve">no instances where the respiration response differed among the three carbon amendments </w:t>
      </w:r>
      <w:r>
        <w:t xml:space="preserve">during any deployment </w:t>
      </w:r>
      <w:r>
        <w:t>(GLS,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w:t>
      </w:r>
      <w:r>
        <w:t>autumn</w:t>
      </w:r>
      <w:r>
        <w:t xml:space="preserve"> versus spring) and reach (buried versus daylight) whereby the respiration response to added carbon was stronger in autumn compared to spring, but </w:t>
      </w:r>
      <w:r>
        <w:t>open</w:t>
      </w:r>
      <w:r>
        <w:t xml:space="preserve">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lastRenderedPageBreak/>
        <w:t xml:space="preserve">To see what factors might predict the areal NRR response </w:t>
      </w:r>
      <w:r>
        <w:t xml:space="preserve">to added carbon </w:t>
      </w:r>
      <w:r>
        <w:t xml:space="preserve">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w:t>
      </w:r>
      <w:r>
        <w:t>EEA assays</w:t>
      </w:r>
      <w:r>
        <w:t xml:space="preserve">, and metrics of dissolved organic matter quality derived from excitation-emission matrices.  We found no relationships between the NRR response and water chemistry, hydrology, </w:t>
      </w:r>
      <w:r>
        <w:t xml:space="preserve">or </w:t>
      </w:r>
      <w:r>
        <w:t xml:space="preserve">ecosystem-scale functional attributes.  Although </w:t>
      </w:r>
      <w:r>
        <w:t xml:space="preserve">EEA </w:t>
      </w:r>
      <w:r>
        <w:t>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EB33006" w14:textId="77777777" w:rsidR="00217DFF" w:rsidRDefault="00217DFF">
      <w:pPr>
        <w:sectPr w:rsidR="00217DFF">
          <w:pgSz w:w="12240" w:h="15840"/>
          <w:pgMar w:top="1440" w:right="1440" w:bottom="1440" w:left="1440" w:header="720" w:footer="720" w:gutter="0"/>
          <w:cols w:space="720"/>
          <w:docGrid w:linePitch="360"/>
        </w:sectPr>
      </w:pPr>
    </w:p>
    <w:p w14:paraId="0120C663" w14:textId="0D6F8BFF" w:rsidR="00677634" w:rsidRDefault="00677634">
      <w:r>
        <w:lastRenderedPageBreak/>
        <w:t>Discussion</w:t>
      </w:r>
      <w:r w:rsidR="0047775D">
        <w:t xml:space="preserve"> (Key points)</w:t>
      </w:r>
    </w:p>
    <w:p w14:paraId="61677365" w14:textId="5A7F9880" w:rsidR="00677634" w:rsidRDefault="004D48C0">
      <w:r>
        <w:t>Dissolved o</w:t>
      </w:r>
      <w:r w:rsidR="0047775D">
        <w:t xml:space="preserve">rganic </w:t>
      </w:r>
      <w:r>
        <w:t>m</w:t>
      </w:r>
      <w:r w:rsidR="0047775D">
        <w:t xml:space="preserve">atter </w:t>
      </w:r>
      <w:r>
        <w:t>a</w:t>
      </w:r>
      <w:r w:rsidR="0047775D">
        <w:t>nalysis</w:t>
      </w:r>
    </w:p>
    <w:p w14:paraId="6EE22FF9" w14:textId="39A542CD" w:rsidR="0047775D" w:rsidRDefault="0047775D">
      <w:r>
        <w:t xml:space="preserve">BIX and FI show a clear pattern of more recalcitrant carbon in the autumn, consistent with terrestrial leaf inputs.  This is consistent with standing stock data shown in Beaulieu et al. 2014 where </w:t>
      </w:r>
      <w:r w:rsidR="00C92F3E">
        <w:t>autumn</w:t>
      </w:r>
      <w:r>
        <w:t xml:space="preserve"> had higher CBOM than other seasons and spring had higher chlorophyll a than other seasons.  However the standing stock data also show lower overall chlorophyll and CBOM in buried reaches, and reach was not significant for BIX or FI.  This suggests that these aspects of the DOM character are </w:t>
      </w:r>
      <w:r w:rsidR="00180E79">
        <w:t>more strongly</w:t>
      </w:r>
      <w:r w:rsidR="00C92F3E">
        <w:t xml:space="preserve"> influenced by </w:t>
      </w:r>
      <w:r w:rsidR="00180E79">
        <w:t>open reaches than buried reaches</w:t>
      </w:r>
      <w:r w:rsidR="00C92F3E">
        <w:t>.  Because buried reaches do not have an avenue for direct riparian inputs and they have nearly no chlorophyll a, this implies that open reaches impart the BIX and FI characteristics to the DOM pool and that biological activity in buried reaches</w:t>
      </w:r>
      <w:r w:rsidR="00180E79">
        <w:t>, which is lower than activity in the open reaches,</w:t>
      </w:r>
      <w:r w:rsidR="00C92F3E">
        <w:t xml:space="preserve"> does little to alter those aspects of the DOM signature.  The absolute values of the BIX and FI show that, despite clear seasonal differences, the DOM of thes</w:t>
      </w:r>
      <w:r w:rsidR="00180E79">
        <w:t>e</w:t>
      </w:r>
      <w:r w:rsidR="00C92F3E">
        <w:t xml:space="preserve"> streams has a very weak autotrophic signature.  </w:t>
      </w:r>
      <w:r>
        <w:t>(should we show CBOM, FBOM, Chlorphyll, Periphyton standing stock data by season as Fig 3 in Beaulieu et al. 2014?  It would support the DOM interpretation.  Maybe it’s OK just to cite the data?)</w:t>
      </w:r>
    </w:p>
    <w:p w14:paraId="42B476F7" w14:textId="6B64F6A2" w:rsidR="00677634" w:rsidRDefault="00C92F3E">
      <w:r>
        <w:t xml:space="preserve">The P/H ratio also shows seasonal differences consistent with BIX and FI with more humic-like components in the autumn, likely due to riparian leaf inputs.  In aggregate, the data also show a lower ratio (more humic) in the open compared to the buried reaches.  This pattern is consistent with open reaches receiving direct leaf inputs that make the humic character stronger.  </w:t>
      </w:r>
      <w:r w:rsidR="00C708F4">
        <w:t>The HIX data reflects similar patterns to the P/H ratio with autumn having higher humic character than spring or summer, and open reaches having higher humic character than buried reaches.</w:t>
      </w:r>
      <w:r w:rsidR="00C708F4">
        <w:t xml:space="preserve"> </w:t>
      </w:r>
      <w:r>
        <w:t xml:space="preserve">(Could this also suggest that the P/H ratio is more sensitive to different biological processing of the DOM pool in different reaches given that there is more effort to degrade </w:t>
      </w:r>
      <w:r w:rsidR="00C708F4">
        <w:t>recalcitrant carbon sources in the buried reaches, which would drive this ratio toward protein in the buried reach?).  We cannot compare HIX values to the literature, but when BIX and FI are taken into account</w:t>
      </w:r>
      <w:r w:rsidR="00180E79">
        <w:t xml:space="preserve"> with P/H ratio</w:t>
      </w:r>
      <w:r w:rsidR="00C708F4">
        <w:t>, the fluorescence data indicate that DOM in these streams is dominate</w:t>
      </w:r>
      <w:r w:rsidR="00180E79">
        <w:t>d</w:t>
      </w:r>
      <w:r w:rsidR="00C708F4">
        <w:t xml:space="preserve"> by terrestrial and/or recalcitrant characteristics</w:t>
      </w:r>
      <w:r w:rsidR="00180E79">
        <w:t xml:space="preserve"> despite clear seasonal changes in algal biomass</w:t>
      </w:r>
      <w:r w:rsidR="00C708F4">
        <w:t>.</w:t>
      </w:r>
    </w:p>
    <w:p w14:paraId="041C826B" w14:textId="2CDDA156" w:rsidR="00C708F4" w:rsidRDefault="00564163">
      <w:r>
        <w:t>Taken together, the DOM data show spatio-temporal differences in the DOM concentration driven by seasonal differences in sources (CBOM versus algal) and the possibility that spatial differences in organic matter inputs or differential processing of DOM can alter the characteristics of the DOM pool.</w:t>
      </w:r>
    </w:p>
    <w:p w14:paraId="473A911B" w14:textId="37A53DD8" w:rsidR="00564163" w:rsidRDefault="00564163">
      <w:r>
        <w:t>E</w:t>
      </w:r>
      <w:r w:rsidR="004D48C0">
        <w:t>xtracellular enzyme activity</w:t>
      </w:r>
    </w:p>
    <w:p w14:paraId="04463F87" w14:textId="0D972303" w:rsidR="00C92F3E" w:rsidRDefault="004D48C0">
      <w:r>
        <w:t xml:space="preserve">Carbon degradation enzymes do not show a seasonal pattern, but they are consistent with the idea that biological processing of DOM in the buried reaches can alter the characteristics of the DOM pool.  Buried reaches had higher DOPAH2 and POX indicating greater effort to acquire recalcitrant sources.  The lack of chlorophyll and reduced periphyton cover in the buried reaches suggests less production of high quality DOM in the buried reaches, consistent with higher DOPAH2 and POX.  Conversely, the lower values of DOPAH2 and POX in the daylight reach indicate less effort to acquire recalcitrant carbon in parallel with higher levels of chlorophyll a in the autumn, winter, and spring.  Greater effort to acquire recalcitrant carbon in the buried reaches might suggest rapid use of </w:t>
      </w:r>
      <w:r w:rsidR="00CD2751">
        <w:t>high quality carbon produced in the open reaches</w:t>
      </w:r>
      <w:r w:rsidR="00CD2751">
        <w:t xml:space="preserve"> </w:t>
      </w:r>
      <w:r>
        <w:t xml:space="preserve">and little export </w:t>
      </w:r>
      <w:r w:rsidR="00CD2751">
        <w:t>to downstream buried reaches</w:t>
      </w:r>
      <w:r>
        <w:t>.</w:t>
      </w:r>
    </w:p>
    <w:p w14:paraId="2D84A3C1" w14:textId="7A26D146" w:rsidR="004D48C0" w:rsidRDefault="004D48C0">
      <w:r>
        <w:lastRenderedPageBreak/>
        <w:t xml:space="preserve">We did not find a direct metric that extracellular enzymes favored labile carbon in the open reaches, perhaps because the DOM characteristics suggest an overall dominance of terrestrial/recalcitrant sources.  </w:t>
      </w:r>
      <w:r w:rsidR="002E3B2A">
        <w:t>T</w:t>
      </w:r>
      <w:r>
        <w:t xml:space="preserve">he LCI </w:t>
      </w:r>
      <w:r w:rsidR="002E3B2A">
        <w:t xml:space="preserve">index </w:t>
      </w:r>
      <w:r>
        <w:t xml:space="preserve">aggregates several metrics of </w:t>
      </w:r>
      <w:r w:rsidR="002E3B2A">
        <w:t xml:space="preserve">labile and recalcitrant </w:t>
      </w:r>
      <w:r>
        <w:t>carbon use</w:t>
      </w:r>
      <w:r w:rsidR="002E3B2A">
        <w:t>, and it</w:t>
      </w:r>
      <w:r>
        <w:t xml:space="preserve"> </w:t>
      </w:r>
      <w:r w:rsidR="002E3B2A">
        <w:t>shows greater use of recalcitrant carbon in buried reaches, possibly driven by the significant POX values</w:t>
      </w:r>
      <w:r w:rsidR="00CD2751">
        <w:t xml:space="preserve"> rather than inclusion of the labile carbon index</w:t>
      </w:r>
      <w:r w:rsidR="002E3B2A">
        <w:t xml:space="preserve">.  However, inclusion of the labile carbon metrics shows a seasonal effect whereby summer has greater use of recalcitrant carbon than autumn, but that autumn and spring were not different.  This pattern appears driven by high LCI in open reaches in summer.  Summer standing stocks include low CBOM, low chlorophyll a, and the highest FBOM among the seasons.  The lack of chlorophyll and reliance on FBOM, a highly processed carbon source, may explain the high use of recalcitrant carbon sources in summer.  The lack of difference in enzyme activity between spring and autumn despite the major differences in CBOM and chlorophyll may reflect the overall terrestrial </w:t>
      </w:r>
      <w:r w:rsidR="005D29AC">
        <w:t xml:space="preserve">signature of the DOM </w:t>
      </w:r>
      <w:r w:rsidR="002E3B2A">
        <w:t>pool, which is dominate</w:t>
      </w:r>
      <w:r w:rsidR="005D29AC">
        <w:t>d by terrestrial sources even in the spring.</w:t>
      </w:r>
    </w:p>
    <w:p w14:paraId="6D5903B7" w14:textId="46BC9CB8" w:rsidR="00B21FB4" w:rsidRDefault="00B21FB4">
      <w:r>
        <w:t>These patterns are also evident in N-acquiring enzymes, which have the lowest abundance in the spring, coincident with higher quality algal DOM, and highest values in summer and autumn, when overall chlorophyll is low and the system is dominated by FBOM and CBOM standing stocks respectively</w:t>
      </w:r>
    </w:p>
    <w:p w14:paraId="753F9784" w14:textId="4775868E" w:rsidR="00A67D45" w:rsidRDefault="00A67D45">
      <w:r>
        <w:t>NDS</w:t>
      </w:r>
    </w:p>
    <w:p w14:paraId="02B7E156" w14:textId="76687E28" w:rsidR="00A67D45" w:rsidRDefault="00A67D45">
      <w:r>
        <w:t>We assessed overall carbon limitation in autumn and spring, and we found an interaction between season and reach.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 xml:space="preserve">more strongly limited by carbon than buried reaches in the autumn </w:t>
      </w:r>
      <w:r w:rsidR="00CD2751">
        <w:t xml:space="preserve">, but they were </w:t>
      </w:r>
      <w:r w:rsidR="00B21FB4">
        <w:t xml:space="preserve">less limited by carbon </w:t>
      </w:r>
      <w:r w:rsidR="00CD2751">
        <w:t xml:space="preserve">than </w:t>
      </w:r>
      <w:r w:rsidR="00B21FB4">
        <w:t xml:space="preserve">the buried in the spring.  The overall seasonal effect can be easily explained as autumn having a pulse of DOM from terrestrial leaves whereas the spring has a pulse of higher quality DOM from algal sources.  The differential response might be related to the fact that buried reaches always invest more effort in acquiring recalcitrant carbon, so biofilms in the buried reaches might have been better able to use the autumn pulse of terrestrial DOM compared to the open reaches which always invested less in recalcitrant carbon acquisition.  Similarly,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because the system had higher levels of algal DOM overall, but buried reaches appear to get less of this higher quality DOM in general, so they responded more strongly to the NDS.</w:t>
      </w:r>
    </w:p>
    <w:p w14:paraId="4CD50773" w14:textId="5ECEF4E8" w:rsidR="00B21FB4" w:rsidRDefault="00B21FB4">
      <w:r>
        <w:t xml:space="preserve">We got different results when we expressed carbon limitation by area or biomass (i.e., gAFDM-1).  When expressed by area, results were highly significant, but when expressed by biomass, there were no differences.  This implies that the biofilm response to added carbon is not to increase carbon use rate, but to assimilate </w:t>
      </w:r>
      <w:r w:rsidR="00CD2751">
        <w:t xml:space="preserve">biofilms with greater </w:t>
      </w:r>
      <w:r>
        <w:t xml:space="preserve">biomass.  </w:t>
      </w:r>
      <w:r w:rsidR="00430256">
        <w:t xml:space="preserve">Given the fact that we relieved N and P limitation to focus on the response to added </w:t>
      </w:r>
      <w:r w:rsidR="00430256">
        <w:t>carbon</w:t>
      </w:r>
      <w:r w:rsidR="00430256">
        <w:t>, these results might not apply to carbon additions in low nutrient streams, but they may be reasonably applicable to agricultural and urban streams which tend to have higher background nutrient concentrations.</w:t>
      </w:r>
    </w:p>
    <w:p w14:paraId="3EE568D2" w14:textId="119F00E4" w:rsidR="00430256" w:rsidRDefault="00430256">
      <w:r>
        <w:t xml:space="preserve">Biofilms responded the same to all carbon sources (glucose, arabinose, cellobiose).  Although arabinose has been used </w:t>
      </w:r>
      <w:r w:rsidR="00CD2751">
        <w:t xml:space="preserve">as </w:t>
      </w:r>
      <w:r>
        <w:t xml:space="preserve">a less labile form of carbon in some studies (e.g., Newbold et al. 2006), our results show that it is just as bioavailable as glucose in this study system.  </w:t>
      </w:r>
      <w:r>
        <w:t>Similarly, we used cellobiose as a breakdown product of cellulose that we predicted would be less bioavailable than glucose or arabinose, yet it was equally bioavailable as glucose</w:t>
      </w:r>
      <w:r>
        <w:t xml:space="preserve">.  It’s unclear if arabinose and cellobiose bioavailability is </w:t>
      </w:r>
      <w:r>
        <w:lastRenderedPageBreak/>
        <w:t>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025E7632" w:rsidR="00F62BD7" w:rsidRDefault="00F62BD7">
      <w:r>
        <w:t xml:space="preserve">Interestingly, although we measured distinct differences in the DOM pool and microbial use of different carbon and nitrogen sources, none of those metrics were 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 xml:space="preserve">environmental data collected </w:t>
      </w:r>
      <w:r>
        <w:t xml:space="preserve">despite the NDS response being consistent with the spatio-temporal patterns of DOM </w:t>
      </w:r>
      <w:r w:rsidR="002C23B0">
        <w:t>and EEA may reflect a significant difference in the carbon sources we used for the NDS.  We used very simple carbon sources with respect to the sources in the overall bulk DOM pool, so the biofilm response to these highly labile sources would be different than the environmental conditions biofilms were exposed to on the tiles used for EEA.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  Despite not being able to link DOM characteristic</w:t>
      </w:r>
      <w:r w:rsidR="00CD2751">
        <w:t>s</w:t>
      </w:r>
      <w:bookmarkStart w:id="0" w:name="_GoBack"/>
      <w:bookmarkEnd w:id="0"/>
      <w:r w:rsidR="002C23B0">
        <w:t xml:space="preserve"> or EEA metrics in a linear relationship with the NDS response, the NDS response was still consistent with those metrics suggesting this can be a good tool to explore patterns of carbon use streams.</w:t>
      </w:r>
    </w:p>
    <w:p w14:paraId="2CD15954" w14:textId="77777777" w:rsidR="005D29AC" w:rsidRDefault="005D29AC"/>
    <w:p w14:paraId="15FFCD40" w14:textId="77777777" w:rsidR="00C92F3E" w:rsidRDefault="00C92F3E"/>
    <w:p w14:paraId="1171DFDC" w14:textId="77777777" w:rsidR="00C92F3E" w:rsidRDefault="00C92F3E">
      <w:pPr>
        <w:sectPr w:rsidR="00C92F3E">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1"/>
      <w:r>
        <w:rPr>
          <w:rStyle w:val="CommentReference"/>
        </w:rPr>
        <w:commentReference w:id="1"/>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0A6A176" w14:textId="77777777" w:rsidR="005849D6" w:rsidRDefault="005849D6" w:rsidP="005849D6">
      <w:r>
        <w:t xml:space="preserve">Hill BH, McCormick FH, Harvey BC, Johnson SL, Warren ML, Elonen CM (2010) Microbial enzyme activity, nutrient uptake and nutrient limitation in forested streams. Freshw Biol 55(5):1005–1019 </w:t>
      </w:r>
    </w:p>
    <w:p w14:paraId="038CF29A" w14:textId="77777777" w:rsidR="00E65E40" w:rsidRDefault="00E65E40" w:rsidP="005849D6">
      <w:r>
        <w:t>Huguet A, Vacher L, Relexans S, Saubusse S, Froidefond JM, Parlanti E (2009) Properties of fluorescent dissolved organic matter in the Gironde Estuary. Organic Geochemistry 40(6):706–719</w:t>
      </w:r>
    </w:p>
    <w:p w14:paraId="5143C367" w14:textId="77777777"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7B8EDC6D" w14:textId="25F8A425"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lastRenderedPageBreak/>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77777777" w:rsidR="000A2E66" w:rsidRDefault="000A2E66" w:rsidP="000A2E66">
      <w:r>
        <w:t>Sinsabaugh RL, Shah JJF (2011) Ecoenzymatic stoichiometry of recalcitrant organic matter decomposition: the growth rate hypothesis in reverse. Biogeochemistry 102(1–3):31–43</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Pr="008D33D5">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5A062C">
        <w:tc>
          <w:tcPr>
            <w:tcW w:w="1870" w:type="dxa"/>
          </w:tcPr>
          <w:p w14:paraId="45B878CA" w14:textId="77777777" w:rsidR="006326B4" w:rsidRDefault="006326B4" w:rsidP="005A062C"/>
        </w:tc>
        <w:tc>
          <w:tcPr>
            <w:tcW w:w="1870" w:type="dxa"/>
          </w:tcPr>
          <w:p w14:paraId="50FEB559" w14:textId="77777777" w:rsidR="006326B4" w:rsidRDefault="006326B4" w:rsidP="005A062C">
            <w:r>
              <w:t>Glucose NRR</w:t>
            </w:r>
          </w:p>
        </w:tc>
        <w:tc>
          <w:tcPr>
            <w:tcW w:w="1870" w:type="dxa"/>
          </w:tcPr>
          <w:p w14:paraId="567FFA9C" w14:textId="77777777" w:rsidR="006326B4" w:rsidRDefault="006326B4" w:rsidP="005A062C">
            <w:r>
              <w:t>Arabinose NRR</w:t>
            </w:r>
          </w:p>
        </w:tc>
        <w:tc>
          <w:tcPr>
            <w:tcW w:w="1870" w:type="dxa"/>
          </w:tcPr>
          <w:p w14:paraId="06BE265D" w14:textId="77777777" w:rsidR="006326B4" w:rsidRDefault="006326B4" w:rsidP="005A062C">
            <w:r>
              <w:t>Cellobiose NRR</w:t>
            </w:r>
          </w:p>
        </w:tc>
        <w:tc>
          <w:tcPr>
            <w:tcW w:w="1870" w:type="dxa"/>
          </w:tcPr>
          <w:p w14:paraId="47D282A5" w14:textId="77777777" w:rsidR="006326B4" w:rsidRDefault="006326B4" w:rsidP="005A062C">
            <w:r>
              <w:t>P value</w:t>
            </w:r>
          </w:p>
        </w:tc>
      </w:tr>
      <w:tr w:rsidR="006326B4" w14:paraId="187CC983" w14:textId="77777777" w:rsidTr="005A062C">
        <w:tc>
          <w:tcPr>
            <w:tcW w:w="1870" w:type="dxa"/>
          </w:tcPr>
          <w:p w14:paraId="577AE81D" w14:textId="77777777" w:rsidR="006326B4" w:rsidRDefault="006326B4" w:rsidP="005A062C">
            <w:r>
              <w:t>CBOM</w:t>
            </w:r>
          </w:p>
        </w:tc>
        <w:tc>
          <w:tcPr>
            <w:tcW w:w="1870" w:type="dxa"/>
          </w:tcPr>
          <w:p w14:paraId="21277907" w14:textId="77777777" w:rsidR="006326B4" w:rsidRDefault="006326B4" w:rsidP="005A062C">
            <w:r>
              <w:t>0.072</w:t>
            </w:r>
          </w:p>
        </w:tc>
        <w:tc>
          <w:tcPr>
            <w:tcW w:w="1870" w:type="dxa"/>
          </w:tcPr>
          <w:p w14:paraId="025AC8E1" w14:textId="77777777" w:rsidR="006326B4" w:rsidRDefault="006326B4" w:rsidP="005A062C">
            <w:r>
              <w:t>0.060</w:t>
            </w:r>
          </w:p>
        </w:tc>
        <w:tc>
          <w:tcPr>
            <w:tcW w:w="1870" w:type="dxa"/>
          </w:tcPr>
          <w:p w14:paraId="6FD91037" w14:textId="77777777" w:rsidR="006326B4" w:rsidRDefault="006326B4" w:rsidP="005A062C">
            <w:r>
              <w:t>0.064</w:t>
            </w:r>
          </w:p>
        </w:tc>
        <w:tc>
          <w:tcPr>
            <w:tcW w:w="1870" w:type="dxa"/>
          </w:tcPr>
          <w:p w14:paraId="754FFBD3" w14:textId="77777777" w:rsidR="006326B4" w:rsidRDefault="006326B4" w:rsidP="005A062C">
            <w:r>
              <w:t>0.036</w:t>
            </w:r>
          </w:p>
        </w:tc>
      </w:tr>
      <w:tr w:rsidR="006326B4" w14:paraId="53C48C52" w14:textId="77777777" w:rsidTr="005A062C">
        <w:tc>
          <w:tcPr>
            <w:tcW w:w="1870" w:type="dxa"/>
          </w:tcPr>
          <w:p w14:paraId="064B63CF" w14:textId="77777777" w:rsidR="006326B4" w:rsidRDefault="006326B4" w:rsidP="005A062C">
            <w:r>
              <w:t>FBOM</w:t>
            </w:r>
          </w:p>
        </w:tc>
        <w:tc>
          <w:tcPr>
            <w:tcW w:w="1870" w:type="dxa"/>
          </w:tcPr>
          <w:p w14:paraId="1540BF0A" w14:textId="77777777" w:rsidR="006326B4" w:rsidRDefault="006326B4" w:rsidP="005A062C">
            <w:r>
              <w:t>0.014</w:t>
            </w:r>
          </w:p>
        </w:tc>
        <w:tc>
          <w:tcPr>
            <w:tcW w:w="1870" w:type="dxa"/>
          </w:tcPr>
          <w:p w14:paraId="6FED9701" w14:textId="77777777" w:rsidR="006326B4" w:rsidRDefault="006326B4" w:rsidP="005A062C">
            <w:r>
              <w:t>0.011</w:t>
            </w:r>
          </w:p>
        </w:tc>
        <w:tc>
          <w:tcPr>
            <w:tcW w:w="1870" w:type="dxa"/>
          </w:tcPr>
          <w:p w14:paraId="08C7004C" w14:textId="77777777" w:rsidR="006326B4" w:rsidRDefault="006326B4" w:rsidP="005A062C">
            <w:r>
              <w:t>0.01</w:t>
            </w:r>
          </w:p>
        </w:tc>
        <w:tc>
          <w:tcPr>
            <w:tcW w:w="1870" w:type="dxa"/>
          </w:tcPr>
          <w:p w14:paraId="55630BB2" w14:textId="77777777" w:rsidR="006326B4" w:rsidRDefault="006326B4" w:rsidP="005A062C">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w:t>
      </w:r>
      <w:r w:rsidR="00624BFE">
        <w:t xml:space="preserve"> (NACE) activity of stream biofilms.</w:t>
      </w:r>
    </w:p>
    <w:p w14:paraId="48ABFA81" w14:textId="77777777" w:rsidR="004C0A72" w:rsidRDefault="004C0A72"/>
    <w:p w14:paraId="2599F30D" w14:textId="60BC9331" w:rsidR="001A743D" w:rsidRDefault="004C0A72">
      <w:r>
        <w:t>Figure 7.  Spatio-temporal variation in the nutrient response ratio (NRR: respiration/mean control) to added carbon.</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7067076E" w:rsidR="00677634" w:rsidRDefault="00C65A5E">
      <w:r>
        <w:t>Figure 1.</w:t>
      </w:r>
      <w:r w:rsidR="001013D9">
        <w:t xml:space="preserve"> (Combine with figure 3 for a two panel?)</w:t>
      </w:r>
    </w:p>
    <w:p w14:paraId="1BA4D997" w14:textId="5AC569EF" w:rsidR="00C65A5E" w:rsidRDefault="00C65A5E">
      <w:r w:rsidRPr="00C65A5E">
        <w:rPr>
          <w:noProof/>
        </w:rPr>
        <w:drawing>
          <wp:inline distT="0" distB="0" distL="0" distR="0" wp14:anchorId="2E0CCD07" wp14:editId="6E33F831">
            <wp:extent cx="2971800" cy="2971800"/>
            <wp:effectExtent l="0" t="0" r="0" b="0"/>
            <wp:docPr id="1" name="Picture 1" descr="C:\Users\ArangoC\Documents\R Files\Cinn R dev\Cincy-Carbon-Limitation\output\figures\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hixByReachSeason.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2601859" w:rsidR="00677634" w:rsidRDefault="00C65A5E">
      <w:r w:rsidRPr="00C65A5E">
        <w:rPr>
          <w:noProof/>
        </w:rPr>
        <w:drawing>
          <wp:inline distT="0" distB="0" distL="0" distR="0" wp14:anchorId="2A8ED433" wp14:editId="3A927EBF">
            <wp:extent cx="2971800" cy="2971800"/>
            <wp:effectExtent l="0" t="0" r="0" b="0"/>
            <wp:docPr id="2" name="Picture 2" descr="C:\Users\ArangoC\Documents\R Files\Cinn R dev\Cincy-Carbon-Limitation\output\figures\bix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BySeason.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r>
        <w:t xml:space="preserve"> </w:t>
      </w:r>
      <w:r w:rsidRPr="00C65A5E">
        <w:rPr>
          <w:noProof/>
        </w:rPr>
        <w:drawing>
          <wp:inline distT="0" distB="0" distL="0" distR="0" wp14:anchorId="134A7372" wp14:editId="2441261E">
            <wp:extent cx="2971800" cy="2971800"/>
            <wp:effectExtent l="0" t="0" r="0" b="0"/>
            <wp:docPr id="3" name="Picture 3" descr="C:\Users\ArangoC\Documents\R Files\Cinn R dev\Cincy-Carbon-Limitation\output\figures\fi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fiBy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44941F7A" w:rsidR="001013D9" w:rsidRDefault="001013D9">
      <w:r>
        <w:lastRenderedPageBreak/>
        <w:t>Figure 4.</w:t>
      </w:r>
      <w:r w:rsidR="000860E0">
        <w:t xml:space="preserve"> (Combine into a 2 panel)</w:t>
      </w:r>
    </w:p>
    <w:p w14:paraId="2FB15640" w14:textId="31649C8D" w:rsidR="001013D9" w:rsidRDefault="00461D0C">
      <w:r w:rsidRPr="00461D0C">
        <w:rPr>
          <w:noProof/>
        </w:rPr>
        <w:drawing>
          <wp:inline distT="0" distB="0" distL="0" distR="0" wp14:anchorId="651508FB" wp14:editId="2E313901">
            <wp:extent cx="2971800" cy="2971800"/>
            <wp:effectExtent l="0" t="0" r="0" b="0"/>
            <wp:docPr id="6" name="Picture 6" descr="C:\Users\ArangoC\Documents\R Files\Cinn R dev\Cincy-Carbon-Limitation\output\figures\dopah2ByRea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ngoC\Documents\R Files\Cinn R dev\Cincy-Carbon-Limitation\output\figures\dopah2ByReach.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E5926CE" w14:textId="04D398A8" w:rsidR="001013D9" w:rsidRDefault="000860E0">
      <w:r w:rsidRPr="000860E0">
        <w:rPr>
          <w:noProof/>
        </w:rPr>
        <w:drawing>
          <wp:inline distT="0" distB="0" distL="0" distR="0" wp14:anchorId="6B14449D" wp14:editId="31D649A2">
            <wp:extent cx="2971800" cy="2971800"/>
            <wp:effectExtent l="0" t="0" r="0" b="0"/>
            <wp:docPr id="7" name="Picture 7" descr="C:\Users\ArangoC\Documents\R Files\Cinn R dev\Cincy-Carbon-Limitation\output\figures\poxByRea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ngoC\Documents\R Files\Cinn R dev\Cincy-Carbon-Limitation\output\figures\poxByReach.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0133624C" w:rsidR="00FC20FD" w:rsidRDefault="00624BFE">
      <w:r w:rsidRPr="00624BFE">
        <w:rPr>
          <w:noProof/>
        </w:rPr>
        <w:drawing>
          <wp:inline distT="0" distB="0" distL="0" distR="0" wp14:anchorId="2720F59E" wp14:editId="339BF5D9">
            <wp:extent cx="2971800" cy="2971800"/>
            <wp:effectExtent l="0" t="0" r="0" b="0"/>
            <wp:docPr id="9" name="Picture 9" descr="C:\Users\ArangoC\Documents\R Files\Cinn R dev\Cincy-Carbon-Limitation\output\figures\naceBy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ngoC\Documents\R Files\Cinn R dev\Cincy-Carbon-Limitation\output\figures\naceBySeason.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y Arango" w:date="2016-08-04T14:23:00Z" w:initials="CA">
    <w:p w14:paraId="7A8B3071" w14:textId="77777777" w:rsidR="001013D9" w:rsidRDefault="001013D9">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8B3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136A9"/>
    <w:rsid w:val="00016571"/>
    <w:rsid w:val="00054229"/>
    <w:rsid w:val="000858E5"/>
    <w:rsid w:val="000860E0"/>
    <w:rsid w:val="000A2E66"/>
    <w:rsid w:val="000F2E10"/>
    <w:rsid w:val="001013D9"/>
    <w:rsid w:val="00180E79"/>
    <w:rsid w:val="0018190F"/>
    <w:rsid w:val="00181D4D"/>
    <w:rsid w:val="001A743D"/>
    <w:rsid w:val="001E1D53"/>
    <w:rsid w:val="00217DFF"/>
    <w:rsid w:val="002802C7"/>
    <w:rsid w:val="002C23B0"/>
    <w:rsid w:val="002E3B2A"/>
    <w:rsid w:val="00343A56"/>
    <w:rsid w:val="0039566E"/>
    <w:rsid w:val="003D4753"/>
    <w:rsid w:val="003E2F8E"/>
    <w:rsid w:val="00430256"/>
    <w:rsid w:val="00461D0C"/>
    <w:rsid w:val="0047775D"/>
    <w:rsid w:val="00480FC7"/>
    <w:rsid w:val="004C0A72"/>
    <w:rsid w:val="004D48C0"/>
    <w:rsid w:val="0052731C"/>
    <w:rsid w:val="00564163"/>
    <w:rsid w:val="005849D6"/>
    <w:rsid w:val="005924AC"/>
    <w:rsid w:val="005A5B38"/>
    <w:rsid w:val="005C0484"/>
    <w:rsid w:val="005D29AC"/>
    <w:rsid w:val="00624BFE"/>
    <w:rsid w:val="006259AF"/>
    <w:rsid w:val="006326B4"/>
    <w:rsid w:val="0066271A"/>
    <w:rsid w:val="006730DB"/>
    <w:rsid w:val="00677634"/>
    <w:rsid w:val="00681735"/>
    <w:rsid w:val="00702B2A"/>
    <w:rsid w:val="007116EA"/>
    <w:rsid w:val="00751875"/>
    <w:rsid w:val="00771ADC"/>
    <w:rsid w:val="00785674"/>
    <w:rsid w:val="007946C2"/>
    <w:rsid w:val="007E19F3"/>
    <w:rsid w:val="007F75D1"/>
    <w:rsid w:val="00864237"/>
    <w:rsid w:val="008E5DCD"/>
    <w:rsid w:val="008F1726"/>
    <w:rsid w:val="009046CD"/>
    <w:rsid w:val="0090661B"/>
    <w:rsid w:val="00911F1C"/>
    <w:rsid w:val="009574E4"/>
    <w:rsid w:val="00967806"/>
    <w:rsid w:val="009F0CA4"/>
    <w:rsid w:val="00A41247"/>
    <w:rsid w:val="00A67D45"/>
    <w:rsid w:val="00A771A6"/>
    <w:rsid w:val="00B212C3"/>
    <w:rsid w:val="00B21FB4"/>
    <w:rsid w:val="00B853A9"/>
    <w:rsid w:val="00BD5022"/>
    <w:rsid w:val="00C2215B"/>
    <w:rsid w:val="00C65A5E"/>
    <w:rsid w:val="00C708F4"/>
    <w:rsid w:val="00C806EC"/>
    <w:rsid w:val="00C92F3E"/>
    <w:rsid w:val="00CB256A"/>
    <w:rsid w:val="00CD2751"/>
    <w:rsid w:val="00CE70D3"/>
    <w:rsid w:val="00D76225"/>
    <w:rsid w:val="00D86487"/>
    <w:rsid w:val="00DE60EF"/>
    <w:rsid w:val="00E06C10"/>
    <w:rsid w:val="00E13C73"/>
    <w:rsid w:val="00E232C6"/>
    <w:rsid w:val="00E362D4"/>
    <w:rsid w:val="00E65E40"/>
    <w:rsid w:val="00EE4CAC"/>
    <w:rsid w:val="00F335EF"/>
    <w:rsid w:val="00F62BD7"/>
    <w:rsid w:val="00FC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tiff"/><Relationship Id="rId5" Type="http://schemas.openxmlformats.org/officeDocument/2006/relationships/comments" Target="comments.xml"/><Relationship Id="rId15" Type="http://schemas.openxmlformats.org/officeDocument/2006/relationships/image" Target="media/image9.tiff"/><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23213-D451-4299-9463-ADC6749D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24</Pages>
  <Words>5244</Words>
  <Characters>29893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56</cp:revision>
  <dcterms:created xsi:type="dcterms:W3CDTF">2016-08-04T15:49:00Z</dcterms:created>
  <dcterms:modified xsi:type="dcterms:W3CDTF">2016-08-06T00:24:00Z</dcterms:modified>
</cp:coreProperties>
</file>