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44121D36" w14:textId="77777777" w:rsidR="00677634" w:rsidRDefault="00677634"/>
    <w:p w14:paraId="05F77777" w14:textId="77777777" w:rsidR="00677634" w:rsidRDefault="00677634">
      <w:pPr>
        <w:sectPr w:rsidR="00677634">
          <w:pgSz w:w="12240" w:h="15840"/>
          <w:pgMar w:top="1440" w:right="1440" w:bottom="1440" w:left="1440" w:header="720" w:footer="720" w:gutter="0"/>
          <w:cols w:space="720"/>
          <w:docGrid w:linePitch="360"/>
        </w:sectPr>
      </w:pPr>
    </w:p>
    <w:p w14:paraId="01AEB15A" w14:textId="77777777" w:rsidR="00677634" w:rsidRDefault="00677634">
      <w:r>
        <w:lastRenderedPageBreak/>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xml:space="preserve">) uptake to understand how those factors relate to </w:t>
      </w:r>
      <w:r w:rsidR="00DE60EF">
        <w:t xml:space="preserve">the microbial </w:t>
      </w:r>
      <w:r w:rsidR="00DE60EF">
        <w:t>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w:t>
      </w:r>
      <w:r w:rsidR="003E2F8E">
        <w:t>calculatin</w:t>
      </w:r>
      <w:r w:rsidR="003E2F8E">
        <w:t xml:space="preserve">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77777777" w:rsidR="007116EA" w:rsidRDefault="007116EA">
      <w:r>
        <w:t>Dissolved organic matter quality was characterized using fluorescence excitation-emission matrices (EEMs) (Coble et al. 1990, Coble 1996, Cory et al. 2010)</w:t>
      </w:r>
      <w:r w:rsidR="008F1726">
        <w:t xml:space="preserve"> </w:t>
      </w:r>
      <w:r w:rsidR="008F1726">
        <w:t xml:space="preserve">measured on a </w:t>
      </w:r>
      <w:r w:rsidR="008F1726" w:rsidRPr="008F1726">
        <w:rPr>
          <w:highlight w:val="yellow"/>
        </w:rPr>
        <w:t>MODEL</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w:t>
      </w:r>
      <w:r w:rsidR="00E232C6">
        <w:t>measure absorbance</w:t>
      </w:r>
      <w:r w:rsidR="00E232C6">
        <w:t xml:space="preserve"> so we did perform the standard inner-filter </w:t>
      </w:r>
      <w:r w:rsidR="00E232C6">
        <w:t>correct</w:t>
      </w:r>
      <w:r w:rsidR="00E232C6">
        <w:t>ion.  Therefore these results will be most useful for relative differences across sites and time rather than for comparison to literature values.</w:t>
      </w:r>
    </w:p>
    <w:p w14:paraId="67987D54" w14:textId="77777777" w:rsidR="000F2E10" w:rsidRDefault="00E232C6">
      <w:r>
        <w:t xml:space="preserve">The EEMs we produced allowed us to calculate a variety of indices to characterize the quality of the DOM pool, including </w:t>
      </w:r>
      <w:r w:rsidR="00B853A9">
        <w:t>the humification index (HIX) (Zsolnay et al. 1999; Huguet et al. 2009), the biological freshness index (BIX) (Huguet et al. 2009),</w:t>
      </w:r>
      <w:r w:rsidR="00B853A9">
        <w:t xml:space="preserve"> </w:t>
      </w:r>
      <w:r>
        <w:t xml:space="preserve">the fluorescence index (FI) (McKnight et al. 2001), </w:t>
      </w:r>
      <w:r w:rsidR="00E65E40">
        <w:t>and the protein-to-humic ratio (P/H) (Coble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Values &lt;0.7 are associated with allochthonous DOM, </w:t>
      </w:r>
      <w:r w:rsidR="000F2E10">
        <w:lastRenderedPageBreak/>
        <w:t>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-glucosidase</w:t>
      </w:r>
      <w:r w:rsidR="003D4753">
        <w:t xml:space="preserve"> + </w:t>
      </w:r>
      <w:r w:rsidR="003D4753">
        <w:t>polyphenol oxidase</w:t>
      </w:r>
      <w:r w:rsidR="003D4753">
        <w:t xml:space="preserve">) characterizes the overall quality of the DOM pool (LCI) whereby larger values represent more recalcitrant carbon (Sinsabaugh and Shah 2011).  </w:t>
      </w:r>
      <w:r w:rsidR="00054229">
        <w:t xml:space="preserve">An alternate metric of recalcitrant carbon acquisition was measured as the activity of </w:t>
      </w:r>
      <w:r w:rsidR="00054229">
        <w:t>L-3,4-dihydroxyphenylalanine</w:t>
      </w:r>
      <w:r w:rsidR="00054229">
        <w:t xml:space="preserve"> </w:t>
      </w:r>
      <w:r w:rsidR="00054229">
        <w:t>(DOPA)</w:t>
      </w:r>
      <w:r w:rsidR="00054229">
        <w:t xml:space="preserve"> </w:t>
      </w:r>
      <w:r w:rsidR="00054229">
        <w:t>+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w:t>
      </w:r>
      <w:r w:rsidR="008F1726">
        <w:t xml:space="preserve"> </w:t>
      </w:r>
      <w:r w:rsidR="008F1726">
        <w:t>acquisition was</w:t>
      </w:r>
      <w:r w:rsidR="008F1726">
        <w:t xml:space="preserve"> </w:t>
      </w:r>
      <w:r w:rsidR="008F1726">
        <w:t xml:space="preserve">measured as the activity of </w:t>
      </w:r>
      <w:r w:rsidR="008F1726">
        <w:t>3</w:t>
      </w:r>
      <w:r w:rsidR="008F1726">
        <w:t>-N-acetylglucosaminidase (NACE: EC</w:t>
      </w:r>
      <w:r w:rsidR="008F1726">
        <w:t xml:space="preserve"> </w:t>
      </w:r>
      <w:r w:rsidR="008F1726">
        <w:t>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77777777"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C2215B">
        <w:t>to represent differences in bioavailability</w:t>
      </w:r>
      <w:r w:rsidR="0052731C">
        <w:t>,</w:t>
      </w:r>
      <w:r>
        <w:t xml:space="preserve"> glucose, arabinose, cel</w:t>
      </w:r>
      <w:r w:rsidR="0052731C">
        <w:t>lobiose, or a no-carbon control</w:t>
      </w:r>
      <w:r w:rsidR="000136A9">
        <w:t xml:space="preserve"> (n=8 each).  The </w:t>
      </w:r>
      <w:r w:rsidR="0052731C">
        <w:t xml:space="preserve">NDS </w:t>
      </w:r>
      <w:r w:rsidR="000136A9">
        <w:t xml:space="preserve">were </w:t>
      </w:r>
      <w:r w:rsidR="0052731C">
        <w:t>supplemented with 0.5 N as NH</w:t>
      </w:r>
      <w:r w:rsidR="0052731C" w:rsidRPr="0052731C">
        <w:rPr>
          <w:vertAlign w:val="subscript"/>
        </w:rPr>
        <w:t>4</w:t>
      </w:r>
      <w:r w:rsidR="0052731C">
        <w:t>Cl and 0.5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in PVC to shade them and reduce the potential for autotrophic biofilms to colonize the glass disks, and they were deployed for two weeks.  Upon collection the samples were sent overnight on ice for </w:t>
      </w:r>
      <w:r w:rsidR="00016571">
        <w:t xml:space="preserve">laboratory </w:t>
      </w:r>
      <w:r w:rsidR="000136A9">
        <w:t>analysis within 24 h.</w:t>
      </w:r>
    </w:p>
    <w:p w14:paraId="027D84FD" w14:textId="77777777" w:rsidR="000136A9" w:rsidRDefault="000136A9">
      <w:r>
        <w:t xml:space="preserve">Laboratory analysis consisted of incubating disks in the dark in water collected from the site, and net oxygen change was calculated from the start to the end of the incubation.  The glass disks were saved for calculation of biomass after weighing oven-dried (60 °C) samples before and after combustion in a muffle furnace (500 </w:t>
      </w:r>
      <w:r>
        <w:t>°C</w:t>
      </w:r>
      <w:r>
        <w:t xml:space="preserve">).  </w:t>
      </w:r>
      <w:r w:rsidR="00016571">
        <w:t>The respiration response was scaled by disk area (mg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xml:space="preserve">) and by </w:t>
      </w:r>
      <w:r w:rsidR="00016571">
        <w:lastRenderedPageBreak/>
        <w:t>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w:t>
      </w:r>
      <w:r>
        <w:t>ater chemistry</w:t>
      </w:r>
      <w:r w:rsidR="00BD5022">
        <w:t xml:space="preserve"> and h</w:t>
      </w:r>
      <w:r>
        <w:t>ydrologic parameters</w:t>
      </w:r>
    </w:p>
    <w:p w14:paraId="17AB58B9" w14:textId="77777777" w:rsidR="00BD5022" w:rsidRDefault="00BD5022">
      <w:r>
        <w:t xml:space="preserve">We collected filtered (0.45 </w:t>
      </w:r>
      <w:r w:rsidRPr="00BD5022">
        <w:rPr>
          <w:rFonts w:ascii="Symbol" w:hAnsi="Symbol"/>
        </w:rPr>
        <w:t></w:t>
      </w:r>
      <w:r>
        <w:t>m) water samples in the field and stored them ice for transport to the laboratory where they were acidified or frozen depending on the analyte.  We used standard colorimetric methods to measure nitrate+nitrate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NDIR detection (Shimadzo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w:t>
      </w:r>
      <w:r>
        <w:t>(Runkel, 1998)</w:t>
      </w:r>
      <w:r>
        <w:t xml:space="preserve">, </w:t>
      </w:r>
      <w:r>
        <w:t>a one-dimensional advection, dispersion</w:t>
      </w:r>
      <w:r>
        <w:t xml:space="preserve"> </w:t>
      </w:r>
      <w:r>
        <w:t>and transient storage model</w:t>
      </w:r>
      <w:r>
        <w:t xml:space="preserve">, to </w:t>
      </w:r>
      <w:r>
        <w:t>estimate</w:t>
      </w:r>
      <w:r>
        <w:t xml:space="preserve"> </w:t>
      </w:r>
      <w:r>
        <w:t xml:space="preserve">solute </w:t>
      </w:r>
      <w:r>
        <w:t xml:space="preserve">hyporheic </w:t>
      </w:r>
      <w:r>
        <w:t>exchange parameters such as the cross-sectional</w:t>
      </w:r>
      <w:r>
        <w:t xml:space="preserve"> </w:t>
      </w:r>
      <w:r>
        <w:t>area of the transient storage zone (A</w:t>
      </w:r>
      <w:r w:rsidRPr="00751875">
        <w:rPr>
          <w:vertAlign w:val="subscript"/>
        </w:rPr>
        <w:t>s</w:t>
      </w:r>
      <w:r>
        <w:t>) and the storage</w:t>
      </w:r>
      <w:r>
        <w:t xml:space="preserve"> </w:t>
      </w:r>
      <w:r>
        <w:t>zone exchange coefficient (</w:t>
      </w:r>
      <w:r w:rsidRPr="00751875">
        <w:rPr>
          <w:rFonts w:ascii="Symbol" w:hAnsi="Symbol"/>
        </w:rPr>
        <w:t></w:t>
      </w:r>
      <w:r>
        <w:t>). From these parameters, we</w:t>
      </w:r>
      <w:r>
        <w:t xml:space="preserve"> calculated the storage zone r</w:t>
      </w:r>
      <w:r>
        <w:t>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w:t>
      </w:r>
      <w:r>
        <w:t>=</w:t>
      </w:r>
      <w:r>
        <w:t xml:space="preserve"> As</w:t>
      </w:r>
      <w:r>
        <w:t>/</w:t>
      </w:r>
      <w:r w:rsidRPr="00751875">
        <w:rPr>
          <w:rFonts w:ascii="Symbol" w:hAnsi="Symbol"/>
        </w:rPr>
        <w:t></w:t>
      </w:r>
      <w:r>
        <w:t xml:space="preserve"> </w:t>
      </w:r>
      <w:r>
        <w:t>*</w:t>
      </w:r>
      <w:r>
        <w:t xml:space="preserve"> A </w:t>
      </w:r>
    </w:p>
    <w:p w14:paraId="10231A02" w14:textId="77777777" w:rsidR="00751875" w:rsidRDefault="00751875" w:rsidP="00751875">
      <w:r>
        <w:t>where A is the cross-sectional area of the stream channel</w:t>
      </w:r>
      <w:r>
        <w:t xml:space="preserve"> </w:t>
      </w:r>
      <w:r>
        <w:t xml:space="preserve">calculated from the </w:t>
      </w:r>
      <w:r>
        <w:t xml:space="preserve">bromide </w:t>
      </w:r>
      <w:r>
        <w:t>breakthrough curve and</w:t>
      </w:r>
      <w:r>
        <w:t xml:space="preserve"> </w:t>
      </w:r>
      <w:r>
        <w:t>channel measurements. We calculated the storage</w:t>
      </w:r>
      <w:r>
        <w:t xml:space="preserve"> </w:t>
      </w:r>
      <w:r>
        <w:t>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w:t>
      </w:r>
      <w:r>
        <w:t>=</w:t>
      </w:r>
      <w:r>
        <w:t xml:space="preserve"> </w:t>
      </w:r>
      <w:r w:rsidRPr="00751875">
        <w:rPr>
          <w:rFonts w:ascii="Symbol" w:hAnsi="Symbol"/>
        </w:rPr>
        <w:t></w:t>
      </w:r>
      <w:r>
        <w:t>*</w:t>
      </w:r>
      <w:r>
        <w:t>A</w:t>
      </w:r>
    </w:p>
    <w:p w14:paraId="5B60861A" w14:textId="77777777" w:rsidR="00BD5022" w:rsidRDefault="00751875" w:rsidP="00751875">
      <w:r>
        <w:t>which represents the average water flux through the</w:t>
      </w:r>
      <w:r>
        <w:t xml:space="preserve"> </w:t>
      </w:r>
      <w:r>
        <w:t>storage zone per unit length. We also calculated fraction</w:t>
      </w:r>
      <w:r>
        <w:t xml:space="preserve"> </w:t>
      </w:r>
      <w:r>
        <w:t>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w:t>
      </w:r>
      <w:r>
        <w:t>rganic matter standing stocks</w:t>
      </w:r>
    </w:p>
    <w:p w14:paraId="42A8920B" w14:textId="1BA25E9A" w:rsidR="002802C7" w:rsidRDefault="002802C7">
      <w:r>
        <w:t>We collected 10-20 samples of organic matter from different habitat units in a stratified-random sampling design.  Samples for coarse (&gt;1 mm), fine (&lt;1 mm), and attached (i.e., periphyton) organic matter was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w:t>
      </w:r>
      <w:r>
        <w:t xml:space="preserve">of samples </w:t>
      </w:r>
      <w:r>
        <w:t xml:space="preserve">by weighing </w:t>
      </w:r>
      <w:r>
        <w:t>oven-dried (60 °C) samples</w:t>
      </w:r>
      <w:r>
        <w:t xml:space="preserve"> </w:t>
      </w:r>
      <w:r>
        <w:t xml:space="preserve">before and after combustion in a muffle furnace (500 °C).  </w:t>
      </w:r>
      <w:r w:rsidR="006259AF">
        <w:t xml:space="preserve">We used a </w:t>
      </w:r>
      <w:r w:rsidR="006259AF">
        <w:t>subsample of periphyton</w:t>
      </w:r>
      <w:r w:rsidR="006259AF">
        <w:t xml:space="preserve"> to measure chlorophyll a using the trichromatic method</w:t>
      </w:r>
      <w:r w:rsidR="005924AC">
        <w:t xml:space="preserve"> (APHA 2005)</w:t>
      </w:r>
      <w:r w:rsidR="006259AF">
        <w:t xml:space="preserve"> following hot ethanol extraction (Sartory and Grobbelaar 1984).</w:t>
      </w:r>
    </w:p>
    <w:p w14:paraId="25F88CF8" w14:textId="7B12E804"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and a subset of tiles was analyzed for total bacterial counts using qPCR, described in detail in Beaulieu et al. (2014).  </w:t>
      </w:r>
    </w:p>
    <w:p w14:paraId="6863B982" w14:textId="77777777" w:rsidR="00677634" w:rsidRDefault="00751875">
      <w:r>
        <w:lastRenderedPageBreak/>
        <w:t>Statistical Analysis</w:t>
      </w:r>
    </w:p>
    <w:p w14:paraId="54D0A0C5" w14:textId="1446E664"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ecoenzyme activity (POX, DOPA-H</w:t>
      </w:r>
      <w:r w:rsidR="007946C2" w:rsidRPr="007946C2">
        <w:rPr>
          <w:vertAlign w:val="subscript"/>
        </w:rPr>
        <w:t>2</w:t>
      </w:r>
      <w:r w:rsidR="007946C2">
        <w:t>O</w:t>
      </w:r>
      <w:r w:rsidR="007946C2" w:rsidRPr="007946C2">
        <w:rPr>
          <w:vertAlign w:val="subscript"/>
        </w:rPr>
        <w:t>2</w:t>
      </w:r>
      <w:r w:rsidR="007946C2">
        <w:t xml:space="preserve">, LCI, NACE) and carbon limitation patterns among seasons, between reaches, and among streams.  We used linear modeling to test relationships between carbon limitation patterns and </w:t>
      </w:r>
      <w:r w:rsidR="007946C2">
        <w:t>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uptake</w:t>
      </w:r>
      <w:r w:rsidR="007946C2">
        <w:t xml:space="preserve">.  </w:t>
      </w:r>
      <w:r w:rsidR="00864237">
        <w:t xml:space="preserve">We used </w:t>
      </w:r>
      <w:r w:rsidR="00864237">
        <w:t>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 Oksanen et al. 2016</w:t>
      </w:r>
      <w:bookmarkStart w:id="0" w:name="_GoBack"/>
      <w:bookmarkEnd w:id="0"/>
      <w:r w:rsidR="00864237">
        <w:t>) to test simultaneously how CBOM and FBOM standing stocks affect the response to glucose, arabinose, and cellobiose.  All statistical analyses were done using R (R Core Team 2016)</w:t>
      </w:r>
    </w:p>
    <w:p w14:paraId="7E48988A" w14:textId="77777777" w:rsidR="007946C2" w:rsidRDefault="007946C2"/>
    <w:p w14:paraId="4210DC98" w14:textId="77777777" w:rsidR="007946C2" w:rsidRDefault="007946C2"/>
    <w:p w14:paraId="1BEB93CE" w14:textId="77777777" w:rsidR="007946C2" w:rsidRDefault="007946C2"/>
    <w:p w14:paraId="3791FE7C" w14:textId="77777777" w:rsidR="007946C2" w:rsidRDefault="007946C2">
      <w:pPr>
        <w:sectPr w:rsidR="007946C2">
          <w:pgSz w:w="12240" w:h="15840"/>
          <w:pgMar w:top="1440" w:right="1440" w:bottom="1440" w:left="1440" w:header="720" w:footer="720" w:gutter="0"/>
          <w:cols w:space="720"/>
          <w:docGrid w:linePitch="360"/>
        </w:sectPr>
      </w:pPr>
    </w:p>
    <w:p w14:paraId="62B478A9" w14:textId="77777777" w:rsidR="00677634" w:rsidRDefault="00677634">
      <w:r>
        <w:lastRenderedPageBreak/>
        <w:t>Results</w:t>
      </w:r>
    </w:p>
    <w:p w14:paraId="4085D618" w14:textId="77777777" w:rsidR="00677634" w:rsidRDefault="00677634"/>
    <w:p w14:paraId="6973235E" w14:textId="77777777" w:rsidR="00677634" w:rsidRDefault="00677634">
      <w:pPr>
        <w:sectPr w:rsidR="00677634">
          <w:pgSz w:w="12240" w:h="15840"/>
          <w:pgMar w:top="1440" w:right="1440" w:bottom="1440" w:left="1440" w:header="720" w:footer="720" w:gutter="0"/>
          <w:cols w:space="720"/>
          <w:docGrid w:linePitch="360"/>
        </w:sectPr>
      </w:pPr>
    </w:p>
    <w:p w14:paraId="0120C663" w14:textId="77777777" w:rsidR="00677634" w:rsidRDefault="00677634">
      <w:r>
        <w:lastRenderedPageBreak/>
        <w:t>Discussion</w:t>
      </w:r>
    </w:p>
    <w:p w14:paraId="61677365" w14:textId="77777777" w:rsidR="00677634" w:rsidRDefault="00677634"/>
    <w:p w14:paraId="58C2C2B5" w14:textId="77777777" w:rsidR="00677634" w:rsidRDefault="00677634"/>
    <w:p w14:paraId="42B476F7" w14:textId="77777777" w:rsidR="00677634" w:rsidRDefault="00677634">
      <w:pPr>
        <w:sectPr w:rsidR="00677634">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w:t>
      </w:r>
      <w:r>
        <w:t>Kendall Jo Stanavich for assistan</w:t>
      </w:r>
      <w:r>
        <w:t xml:space="preserve">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1"/>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1"/>
      <w:r>
        <w:rPr>
          <w:rStyle w:val="CommentReference"/>
        </w:rPr>
        <w:commentReference w:id="1"/>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APHA (2005) Standard methods for the examination of water</w:t>
      </w:r>
      <w:r>
        <w:t xml:space="preserve"> </w:t>
      </w:r>
      <w:r>
        <w:t>and wastewater. American Public Health Association,</w:t>
      </w:r>
      <w:r>
        <w:t xml:space="preserve"> </w:t>
      </w:r>
      <w:r>
        <w:t>Washington DC</w:t>
      </w:r>
      <w:r>
        <w:t xml:space="preserve">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0126AD0F" w14:textId="0F00F023" w:rsidR="00343A56" w:rsidRDefault="00343A56" w:rsidP="00343A56">
      <w:r>
        <w:t>Charles DF, Knowles C, Davis RC (2002) Protocols for the</w:t>
      </w:r>
      <w:r>
        <w:t xml:space="preserve"> </w:t>
      </w:r>
      <w:r>
        <w:t>analysis of algal samples collected as part of the U.S.</w:t>
      </w:r>
      <w:r>
        <w:t xml:space="preserve"> </w:t>
      </w:r>
      <w:r>
        <w:t>Geological Survey National Water-Quality Assessment</w:t>
      </w:r>
      <w:r>
        <w:t xml:space="preserve"> </w:t>
      </w:r>
      <w:r>
        <w:t>Program. In: Report No. 02-06. Patrick Center for Environmental</w:t>
      </w:r>
      <w:r>
        <w:t xml:space="preserve"> </w:t>
      </w:r>
      <w:r>
        <w:t>Research, The Academy of Natural Sciences,</w:t>
      </w:r>
      <w:r>
        <w:t xml:space="preserve"> </w:t>
      </w:r>
      <w:r>
        <w:t>Philadelphia, p 124</w:t>
      </w:r>
      <w:r>
        <w:t xml:space="preserve"> </w:t>
      </w:r>
    </w:p>
    <w:p w14:paraId="582AF66A" w14:textId="43C9CA5A" w:rsidR="005C0484" w:rsidRDefault="005C0484" w:rsidP="00343A56">
      <w:r>
        <w:t>Coble</w:t>
      </w:r>
      <w:r>
        <w:t>.</w:t>
      </w:r>
      <w:r>
        <w:t xml:space="preserve"> P</w:t>
      </w:r>
      <w:r>
        <w:t xml:space="preserve">. </w:t>
      </w:r>
      <w:r>
        <w:t>G</w:t>
      </w:r>
      <w:r>
        <w:t>.</w:t>
      </w:r>
      <w:r>
        <w:t xml:space="preserve"> 1996</w:t>
      </w:r>
      <w:r>
        <w:t xml:space="preserve">. </w:t>
      </w:r>
      <w:r>
        <w:t>Characterization of marine and terrestrial</w:t>
      </w:r>
      <w:r>
        <w:t xml:space="preserve"> </w:t>
      </w:r>
      <w:r>
        <w:t>DOM in seawater using excitation emission matrix spectroscopy.</w:t>
      </w:r>
      <w:r>
        <w:t xml:space="preserve"> </w:t>
      </w:r>
      <w:r>
        <w:t>Mar</w:t>
      </w:r>
      <w:r>
        <w:t xml:space="preserve">ine </w:t>
      </w:r>
      <w:r>
        <w:t>Chem</w:t>
      </w:r>
      <w:r>
        <w:t>istry</w:t>
      </w:r>
      <w:r>
        <w:t xml:space="preserve"> 51(4):325–346</w:t>
      </w:r>
    </w:p>
    <w:p w14:paraId="033C1BED" w14:textId="77777777" w:rsidR="00CE70D3" w:rsidRDefault="005C0484" w:rsidP="005C0484">
      <w:r>
        <w:t>Coble P</w:t>
      </w:r>
      <w:r>
        <w:t xml:space="preserve">. </w:t>
      </w:r>
      <w:r>
        <w:t>G</w:t>
      </w:r>
      <w:r>
        <w:t>.</w:t>
      </w:r>
      <w:r>
        <w:t>, S</w:t>
      </w:r>
      <w:r>
        <w:t xml:space="preserve">. </w:t>
      </w:r>
      <w:r>
        <w:t>A</w:t>
      </w:r>
      <w:r>
        <w:t xml:space="preserve">. </w:t>
      </w:r>
      <w:r>
        <w:t>Green, N</w:t>
      </w:r>
      <w:r>
        <w:t>.</w:t>
      </w:r>
      <w:r>
        <w:t>V</w:t>
      </w:r>
      <w:r>
        <w:t xml:space="preserve">. </w:t>
      </w:r>
      <w:r>
        <w:t xml:space="preserve">Blough, </w:t>
      </w:r>
      <w:r>
        <w:t xml:space="preserve">and R. B. Gagosian. </w:t>
      </w:r>
      <w:r>
        <w:t>1990</w:t>
      </w:r>
      <w:r>
        <w:t xml:space="preserve">. </w:t>
      </w:r>
      <w:r>
        <w:t>Characterization</w:t>
      </w:r>
      <w:r>
        <w:t xml:space="preserve"> </w:t>
      </w:r>
      <w:r>
        <w:t>of dissolved organic-matter in the black-sea by</w:t>
      </w:r>
      <w:r>
        <w:t xml:space="preserve"> </w:t>
      </w:r>
      <w:r>
        <w:t>fluorescence spectroscopy. Nature 348(6300):432–435</w:t>
      </w:r>
    </w:p>
    <w:p w14:paraId="3407F74A" w14:textId="77777777" w:rsidR="005C0484" w:rsidRDefault="005C0484" w:rsidP="005C0484">
      <w:r>
        <w:t>Cory RM, Miller MP, McKnight DM, Guerard JJ, Miller PL</w:t>
      </w:r>
      <w:r>
        <w:t xml:space="preserve">. </w:t>
      </w:r>
      <w:r>
        <w:t>2010</w:t>
      </w:r>
      <w:r>
        <w:t>.</w:t>
      </w:r>
      <w:r>
        <w:t xml:space="preserve"> Effect of instrument-specific response on the analysis</w:t>
      </w:r>
      <w:r>
        <w:t xml:space="preserve"> </w:t>
      </w:r>
      <w:r>
        <w:t>of fulvic acid fluorescence spectra. Limnol</w:t>
      </w:r>
      <w:r>
        <w:t xml:space="preserve">ogy and </w:t>
      </w:r>
      <w:r>
        <w:t>Oceanogr</w:t>
      </w:r>
      <w:r>
        <w:t xml:space="preserve">aphy </w:t>
      </w:r>
      <w:r>
        <w:t>Methods 8:67–78</w:t>
      </w:r>
    </w:p>
    <w:p w14:paraId="30A6A176" w14:textId="77777777" w:rsidR="005849D6" w:rsidRDefault="005849D6" w:rsidP="005849D6">
      <w:r>
        <w:t>Hill BH, McCormick FH, Harvey BC, Johnson SL, Warren ML,</w:t>
      </w:r>
      <w:r>
        <w:t xml:space="preserve"> </w:t>
      </w:r>
      <w:r>
        <w:t>Elonen CM (2010) Microbial enzyme activity, nutrient</w:t>
      </w:r>
      <w:r>
        <w:t xml:space="preserve"> </w:t>
      </w:r>
      <w:r>
        <w:t>uptake and nutrient limitation in forested streams. Freshw</w:t>
      </w:r>
      <w:r>
        <w:t xml:space="preserve"> </w:t>
      </w:r>
      <w:r>
        <w:t>Biol 55(5):1005–1019</w:t>
      </w:r>
      <w:r>
        <w:t xml:space="preserve"> </w:t>
      </w:r>
    </w:p>
    <w:p w14:paraId="038CF29A" w14:textId="77777777" w:rsidR="00E65E40" w:rsidRDefault="00E65E40" w:rsidP="005849D6">
      <w:r>
        <w:t>Huguet A, Vacher L, Relexans S, Saubusse S, Froidefond JM,</w:t>
      </w:r>
      <w:r>
        <w:t xml:space="preserve"> </w:t>
      </w:r>
      <w:r>
        <w:t>Parlanti E (2009) Properties of fluorescent dissolved</w:t>
      </w:r>
      <w:r>
        <w:t xml:space="preserve"> </w:t>
      </w:r>
      <w:r>
        <w:t>organic matter in the Gironde Estuary. Org</w:t>
      </w:r>
      <w:r>
        <w:t>anic</w:t>
      </w:r>
      <w:r>
        <w:t xml:space="preserve"> Geochem</w:t>
      </w:r>
      <w:r>
        <w:t xml:space="preserve">istry </w:t>
      </w:r>
      <w:r>
        <w:t>40(6):706–719</w:t>
      </w:r>
    </w:p>
    <w:p w14:paraId="5143C367" w14:textId="77777777" w:rsidR="00CE70D3" w:rsidRDefault="00E65E40" w:rsidP="00E65E40">
      <w:r>
        <w:t>McKnight DM, Boyer EW, Westerhoff PK, Doran PT, Kulbe T,</w:t>
      </w:r>
      <w:r>
        <w:t xml:space="preserve"> </w:t>
      </w:r>
      <w:r>
        <w:t>Andersen DT (2001) Spectrofluorometric characterization</w:t>
      </w:r>
      <w:r>
        <w:t xml:space="preserve"> </w:t>
      </w:r>
      <w:r>
        <w:t>of dissolved organic matter for indication of precursor</w:t>
      </w:r>
      <w:r>
        <w:t xml:space="preserve"> </w:t>
      </w:r>
      <w:r>
        <w:t>organic material and aromaticity. Limnol</w:t>
      </w:r>
      <w:r>
        <w:t xml:space="preserve">ogy and </w:t>
      </w:r>
      <w:r>
        <w:t>Oceanogr</w:t>
      </w:r>
      <w:r>
        <w:t xml:space="preserve">aphy </w:t>
      </w:r>
      <w:r>
        <w:t>46(1):38–48</w:t>
      </w:r>
    </w:p>
    <w:p w14:paraId="2FAC2EDF" w14:textId="77777777" w:rsidR="00D76225" w:rsidRDefault="00D76225" w:rsidP="00D76225">
      <w:r>
        <w:t>Ohno T (2002) Fluorescence inner-filtering correction for</w:t>
      </w:r>
      <w:r>
        <w:t xml:space="preserve"> </w:t>
      </w:r>
      <w:r>
        <w:t>determining the humification index of dissolved organic</w:t>
      </w:r>
      <w:r>
        <w:t xml:space="preserve"> </w:t>
      </w:r>
      <w:r>
        <w:t>matter. Environ</w:t>
      </w:r>
      <w:r>
        <w:t>mental</w:t>
      </w:r>
      <w:r>
        <w:t xml:space="preserve"> Sci</w:t>
      </w:r>
      <w:r>
        <w:t>ence and</w:t>
      </w:r>
      <w:r>
        <w:t xml:space="preserve"> Technol</w:t>
      </w:r>
      <w:r>
        <w:t>ogy</w:t>
      </w:r>
      <w:r>
        <w:t xml:space="preserve"> 36(4):742–746</w:t>
      </w:r>
    </w:p>
    <w:p w14:paraId="6358476C" w14:textId="00DC08B6" w:rsidR="00864237" w:rsidRDefault="00864237" w:rsidP="00864237">
      <w:r>
        <w:t>Jari Oksanen, F. Guillaume Blanchet, Roeland Kindt, Pierre Legendre, Peter R. Minchin,</w:t>
      </w:r>
      <w:r>
        <w:t xml:space="preserve"> </w:t>
      </w:r>
      <w:r>
        <w:t>R. B. O'Hara, Gavin L. Simpson, Peter Solymos, M. Henry H. Stevens and Helene Wagner</w:t>
      </w:r>
      <w:r>
        <w:t xml:space="preserve"> </w:t>
      </w:r>
      <w:r>
        <w:t>(2016). vegan: Community Ecology Package. R package version 2.3-5.</w:t>
      </w:r>
      <w:r>
        <w:t xml:space="preserve"> </w:t>
      </w:r>
      <w:r>
        <w:t>https://CRAN.R-project.org/package=vegan</w:t>
      </w:r>
      <w:r>
        <w:t xml:space="preserve"> </w:t>
      </w:r>
    </w:p>
    <w:p w14:paraId="1E7913C8" w14:textId="4CB8F0B2" w:rsidR="00864237" w:rsidRDefault="00864237" w:rsidP="00864237">
      <w:r>
        <w:t>R Core Team (2016). R: A language and environment for statistical computing. R</w:t>
      </w:r>
      <w:r>
        <w:t xml:space="preserve"> </w:t>
      </w:r>
      <w:r>
        <w:t>Foundation for Statistical Computing, Vienna, Austria. URL https://www.R-project.org/.</w:t>
      </w:r>
      <w:r>
        <w:t xml:space="preserve"> </w:t>
      </w:r>
    </w:p>
    <w:p w14:paraId="7B8EDC6D" w14:textId="25F8A425" w:rsidR="00967806" w:rsidRDefault="00967806" w:rsidP="00864237">
      <w:r>
        <w:t>Runkel R.L. (1998) One-Dimensional Transport with Inflow and</w:t>
      </w:r>
      <w:r>
        <w:t xml:space="preserve"> </w:t>
      </w:r>
      <w:r>
        <w:t>Storage (OTIS): A Solute Transport Model for Streams and</w:t>
      </w:r>
      <w:r>
        <w:t xml:space="preserve"> </w:t>
      </w:r>
      <w:r>
        <w:t>Rivers. U.S. Geological Society, Water Resources Investigations</w:t>
      </w:r>
      <w:r>
        <w:t xml:space="preserve"> </w:t>
      </w:r>
      <w:r>
        <w:t>Report 98-4018.</w:t>
      </w:r>
    </w:p>
    <w:p w14:paraId="32AB4360" w14:textId="77777777" w:rsidR="00967806" w:rsidRDefault="00967806" w:rsidP="00967806">
      <w:r>
        <w:t>Runkel R.L. (2002) A new metric for determining the</w:t>
      </w:r>
      <w:r>
        <w:t xml:space="preserve"> </w:t>
      </w:r>
      <w:r>
        <w:t>importance of transient storage. Journal of the North American</w:t>
      </w:r>
      <w:r>
        <w:t xml:space="preserve"> </w:t>
      </w:r>
      <w:r>
        <w:t>Benthological Society, 21, 529–543.</w:t>
      </w:r>
    </w:p>
    <w:p w14:paraId="6E3CC236" w14:textId="7330C574" w:rsidR="00E13C73" w:rsidRDefault="00E13C73" w:rsidP="00E13C73">
      <w:r>
        <w:t>Sartory DP, Grobbelaar JU (1984) Extraction of chlorophyll a</w:t>
      </w:r>
      <w:r>
        <w:t xml:space="preserve"> </w:t>
      </w:r>
      <w:r>
        <w:t>from freshwater phytoplankton for spectrophotometric</w:t>
      </w:r>
      <w:r>
        <w:t xml:space="preserve"> </w:t>
      </w:r>
      <w:r>
        <w:t>analysis. Hydrobiologia 114(3):177–187</w:t>
      </w:r>
      <w:r>
        <w:t xml:space="preserve"> </w:t>
      </w:r>
    </w:p>
    <w:p w14:paraId="6F44846D" w14:textId="2BF370EE" w:rsidR="005849D6" w:rsidRDefault="005849D6" w:rsidP="00E13C73">
      <w:r>
        <w:lastRenderedPageBreak/>
        <w:t>Sinsabaugh RL, Findlay S, Franchini P, Fisher D (1997)</w:t>
      </w:r>
      <w:r>
        <w:t xml:space="preserve"> </w:t>
      </w:r>
      <w:r>
        <w:t>Enzymatic analysis of riverine bacterioplankton production.</w:t>
      </w:r>
      <w:r>
        <w:t xml:space="preserve"> </w:t>
      </w:r>
      <w:r>
        <w:t>Limnol Oceanogr 42(1):29–38</w:t>
      </w:r>
      <w:r>
        <w:t xml:space="preserve"> </w:t>
      </w:r>
    </w:p>
    <w:p w14:paraId="32993F89" w14:textId="77777777" w:rsidR="006730DB" w:rsidRDefault="006730DB" w:rsidP="005849D6">
      <w:r>
        <w:t>Sinsabaugh RL, Foreman CM (2001) Activity profiles of bacterioplankton</w:t>
      </w:r>
      <w:r>
        <w:t xml:space="preserve"> </w:t>
      </w:r>
      <w:r>
        <w:t>in a eutrophic river. Freshwater Biol 46(9):</w:t>
      </w:r>
      <w:r>
        <w:t xml:space="preserve"> </w:t>
      </w:r>
      <w:r>
        <w:t>1239–1249</w:t>
      </w:r>
    </w:p>
    <w:p w14:paraId="3C274103" w14:textId="77777777" w:rsidR="000A2E66" w:rsidRDefault="000A2E66" w:rsidP="000A2E66">
      <w:r>
        <w:t>Sinsabaugh RL, Shah JJF (2011) Ecoenzymatic stoichiometry of</w:t>
      </w:r>
      <w:r>
        <w:t xml:space="preserve"> </w:t>
      </w:r>
      <w:r>
        <w:t>recalcitrant organic matter decomposition: the growth rate</w:t>
      </w:r>
      <w:r>
        <w:t xml:space="preserve"> </w:t>
      </w:r>
      <w:r>
        <w:t>hypothesis in reverse. Biogeochemistry 102(1–3):31–43</w:t>
      </w:r>
    </w:p>
    <w:p w14:paraId="48F5EC8D" w14:textId="77777777" w:rsidR="00E65E40" w:rsidRDefault="00E65E40" w:rsidP="00D76225">
      <w:r>
        <w:t>Stolpe B, Guo L, Shiller AM, Hassellov M (2010) Size and</w:t>
      </w:r>
      <w:r>
        <w:t xml:space="preserve"> </w:t>
      </w:r>
      <w:r>
        <w:t>composition of colloidal organic matter and trace elements</w:t>
      </w:r>
      <w:r>
        <w:t xml:space="preserve"> </w:t>
      </w:r>
      <w:r>
        <w:t>in the Mississippi River, Pearl River and the northern Gulf</w:t>
      </w:r>
      <w:r>
        <w:t xml:space="preserve"> </w:t>
      </w:r>
      <w:r>
        <w:t>of Mexico, as characterized by flow field-flow fractionation.</w:t>
      </w:r>
      <w:r>
        <w:t xml:space="preserve"> </w:t>
      </w:r>
      <w:r>
        <w:t>Mar</w:t>
      </w:r>
      <w:r>
        <w:t>ine</w:t>
      </w:r>
      <w:r>
        <w:t xml:space="preserve"> Chem</w:t>
      </w:r>
      <w:r>
        <w:t>istry</w:t>
      </w:r>
      <w:r>
        <w:t xml:space="preserve"> 118(3–4):119–128</w:t>
      </w:r>
      <w:r>
        <w:t xml:space="preserve"> </w:t>
      </w:r>
    </w:p>
    <w:p w14:paraId="1D80BC9C" w14:textId="77777777" w:rsidR="00E65E40" w:rsidRDefault="00E65E40" w:rsidP="00E65E40">
      <w:r>
        <w:t>Zsolnay A, Baigar E, Jimenez M, Steinweg B, Saccomandi F</w:t>
      </w:r>
      <w:r>
        <w:t xml:space="preserve"> </w:t>
      </w:r>
      <w:r>
        <w:t>(1999) Differentiating with fluorescence spectroscopy the</w:t>
      </w:r>
      <w:r>
        <w:t xml:space="preserve"> </w:t>
      </w:r>
      <w:r>
        <w:t>sources of dissolved organic matter in soils subjected to</w:t>
      </w:r>
      <w:r>
        <w:t xml:space="preserve"> </w:t>
      </w:r>
      <w:r>
        <w:t>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77777777" w:rsidR="00677634" w:rsidRDefault="00677634">
      <w:r>
        <w:lastRenderedPageBreak/>
        <w:t>Tables</w:t>
      </w:r>
    </w:p>
    <w:p w14:paraId="549253F0" w14:textId="77777777" w:rsidR="00677634" w:rsidRDefault="00677634"/>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77777777" w:rsidR="00677634" w:rsidRDefault="00677634"/>
    <w:p w14:paraId="14F712D3" w14:textId="77777777" w:rsidR="00677634" w:rsidRDefault="00677634">
      <w:pPr>
        <w:sectPr w:rsidR="00677634">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77777777" w:rsidR="00677634" w:rsidRDefault="00677634"/>
    <w:p w14:paraId="768ACB54" w14:textId="77777777" w:rsidR="00677634" w:rsidRDefault="00677634"/>
    <w:p w14:paraId="45A73B45" w14:textId="77777777" w:rsidR="00677634" w:rsidRDefault="00677634"/>
    <w:p w14:paraId="3B999351" w14:textId="77777777" w:rsidR="00677634" w:rsidRDefault="00677634"/>
    <w:sectPr w:rsidR="006776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y Arango" w:date="2016-08-04T14:23:00Z" w:initials="CA">
    <w:p w14:paraId="7A8B3071" w14:textId="77777777" w:rsidR="00967806" w:rsidRDefault="00967806">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8B3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136A9"/>
    <w:rsid w:val="00016571"/>
    <w:rsid w:val="00054229"/>
    <w:rsid w:val="000A2E66"/>
    <w:rsid w:val="000F2E10"/>
    <w:rsid w:val="0018190F"/>
    <w:rsid w:val="00181D4D"/>
    <w:rsid w:val="002802C7"/>
    <w:rsid w:val="00343A56"/>
    <w:rsid w:val="003D4753"/>
    <w:rsid w:val="003E2F8E"/>
    <w:rsid w:val="0052731C"/>
    <w:rsid w:val="005849D6"/>
    <w:rsid w:val="005924AC"/>
    <w:rsid w:val="005C0484"/>
    <w:rsid w:val="006259AF"/>
    <w:rsid w:val="0066271A"/>
    <w:rsid w:val="006730DB"/>
    <w:rsid w:val="00677634"/>
    <w:rsid w:val="00702B2A"/>
    <w:rsid w:val="007116EA"/>
    <w:rsid w:val="00751875"/>
    <w:rsid w:val="00771ADC"/>
    <w:rsid w:val="007946C2"/>
    <w:rsid w:val="007E19F3"/>
    <w:rsid w:val="00864237"/>
    <w:rsid w:val="008E5DCD"/>
    <w:rsid w:val="008F1726"/>
    <w:rsid w:val="009046CD"/>
    <w:rsid w:val="0090661B"/>
    <w:rsid w:val="00911F1C"/>
    <w:rsid w:val="00967806"/>
    <w:rsid w:val="009F0CA4"/>
    <w:rsid w:val="00A41247"/>
    <w:rsid w:val="00A771A6"/>
    <w:rsid w:val="00B853A9"/>
    <w:rsid w:val="00BD5022"/>
    <w:rsid w:val="00C2215B"/>
    <w:rsid w:val="00C806EC"/>
    <w:rsid w:val="00CB256A"/>
    <w:rsid w:val="00CE70D3"/>
    <w:rsid w:val="00D76225"/>
    <w:rsid w:val="00D86487"/>
    <w:rsid w:val="00DE60EF"/>
    <w:rsid w:val="00E06C10"/>
    <w:rsid w:val="00E13C73"/>
    <w:rsid w:val="00E232C6"/>
    <w:rsid w:val="00E362D4"/>
    <w:rsid w:val="00E65E40"/>
    <w:rsid w:val="00F3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00453-9616-4E40-96AA-98761CE2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15</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32</cp:revision>
  <dcterms:created xsi:type="dcterms:W3CDTF">2016-08-04T15:49:00Z</dcterms:created>
  <dcterms:modified xsi:type="dcterms:W3CDTF">2016-08-04T22:39:00Z</dcterms:modified>
</cp:coreProperties>
</file>