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210AA1" w14:textId="77777777" w:rsidR="00ED0F72" w:rsidRDefault="00320B98" w:rsidP="00320B98">
      <w:pPr>
        <w:pStyle w:val="NoSpacing"/>
      </w:pPr>
      <w:r>
        <w:t>Methods</w:t>
      </w:r>
    </w:p>
    <w:p w14:paraId="53A17A89" w14:textId="77777777" w:rsidR="00320B98" w:rsidRDefault="00DC24C0" w:rsidP="00320B98">
      <w:pPr>
        <w:pStyle w:val="NoSpacing"/>
      </w:pPr>
      <w:r>
        <w:t>Site Description</w:t>
      </w:r>
    </w:p>
    <w:p w14:paraId="74E6AE83" w14:textId="77777777" w:rsidR="00DC24C0" w:rsidRDefault="00DC24C0" w:rsidP="00320B98">
      <w:pPr>
        <w:pStyle w:val="NoSpacing"/>
      </w:pPr>
    </w:p>
    <w:p w14:paraId="50C1C223" w14:textId="77777777" w:rsidR="00DC24C0" w:rsidRDefault="00DC24C0" w:rsidP="00320B98">
      <w:pPr>
        <w:pStyle w:val="NoSpacing"/>
      </w:pPr>
      <w:r>
        <w:t>Experimental Design</w:t>
      </w:r>
    </w:p>
    <w:p w14:paraId="34419DF2" w14:textId="77777777" w:rsidR="00DC24C0" w:rsidRDefault="00DC24C0" w:rsidP="00320B98">
      <w:pPr>
        <w:pStyle w:val="NoSpacing"/>
      </w:pPr>
    </w:p>
    <w:p w14:paraId="54550F99" w14:textId="77777777" w:rsidR="00DC24C0" w:rsidRDefault="00DC24C0" w:rsidP="00320B98">
      <w:pPr>
        <w:pStyle w:val="NoSpacing"/>
      </w:pPr>
      <w:r>
        <w:t>NDS Construction and Deployment</w:t>
      </w:r>
    </w:p>
    <w:p w14:paraId="5E4453BF" w14:textId="77777777" w:rsidR="00DC24C0" w:rsidRDefault="00DC24C0" w:rsidP="00320B98">
      <w:pPr>
        <w:pStyle w:val="NoSpacing"/>
      </w:pPr>
    </w:p>
    <w:p w14:paraId="7E4DA731" w14:textId="77777777" w:rsidR="00DC24C0" w:rsidRDefault="00DC24C0" w:rsidP="00320B98">
      <w:pPr>
        <w:pStyle w:val="NoSpacing"/>
      </w:pPr>
      <w:r>
        <w:t>GPP and CR measurements</w:t>
      </w:r>
    </w:p>
    <w:p w14:paraId="0413F6B8" w14:textId="77777777" w:rsidR="00932CF2" w:rsidRDefault="00932CF2" w:rsidP="00320B98">
      <w:pPr>
        <w:pStyle w:val="NoSpacing"/>
      </w:pPr>
    </w:p>
    <w:p w14:paraId="08D92A8E" w14:textId="45C19392" w:rsidR="007427CC" w:rsidRDefault="005C574F" w:rsidP="00320B98">
      <w:pPr>
        <w:pStyle w:val="NoSpacing"/>
      </w:pPr>
      <w:r>
        <w:t>In some cases, the sponges were nearly consumed by heterotrophs and in other cases, the sponge was completely consumed</w:t>
      </w:r>
      <w:r w:rsidR="007427CC">
        <w:t xml:space="preserve">. We are confident these sponges were consumed, not simply lost to the flowing water because: 1) in all cases, the caps on the cups were closed, preventing sponges from leaving and 2) in most cases, small strands of cellulose were still visible. </w:t>
      </w:r>
      <w:r>
        <w:t xml:space="preserve">If the sponge was still large enough to remain intact during transport, we still completed the GPP and CR measurements, but accounted for its smaller size by measuring its surface area. If the sponge was fully consumed, we were unable to measure GPP and CR. </w:t>
      </w:r>
      <w:r w:rsidR="007427CC">
        <w:t>But clearly respiration occurred and at a higher rate than on the sponges that remained fully intact.</w:t>
      </w:r>
    </w:p>
    <w:p w14:paraId="1FABAF49" w14:textId="77777777" w:rsidR="007427CC" w:rsidRDefault="007427CC" w:rsidP="00320B98">
      <w:pPr>
        <w:pStyle w:val="NoSpacing"/>
      </w:pPr>
    </w:p>
    <w:p w14:paraId="0CECA453" w14:textId="10EE5918" w:rsidR="00932CF2" w:rsidRDefault="007427CC" w:rsidP="00320B98">
      <w:pPr>
        <w:pStyle w:val="NoSpacing"/>
      </w:pPr>
      <w:r>
        <w:t>Rather than eliminate those data points, we estimated CR</w:t>
      </w:r>
      <w:r w:rsidR="005C574F">
        <w:t xml:space="preserve">. </w:t>
      </w:r>
      <w:r>
        <w:t xml:space="preserve">We calculated the respiration rate necessary to consume an entire sponge, based on the C content of the sponge, a respiratory quotient of 0.85 mol CO2/mol O2, and the deployment time. With this approach, however, respiration rates far exceeded those measured in the lab, potentially because </w:t>
      </w:r>
      <w:r w:rsidR="0047299A">
        <w:t>small chunks of the sponge floated downstream. To keep our respiration estimates reasonable, we instead added 10% to the largest measured respiration rate.</w:t>
      </w:r>
    </w:p>
    <w:p w14:paraId="6D68AF75" w14:textId="77777777" w:rsidR="00DC24C0" w:rsidRDefault="00DC24C0" w:rsidP="00320B98">
      <w:pPr>
        <w:pStyle w:val="NoSpacing"/>
      </w:pPr>
    </w:p>
    <w:p w14:paraId="64201B41" w14:textId="77777777" w:rsidR="00DC24C0" w:rsidRDefault="00DC24C0" w:rsidP="00320B98">
      <w:pPr>
        <w:pStyle w:val="NoSpacing"/>
      </w:pPr>
      <w:r>
        <w:t>Lab incubations</w:t>
      </w:r>
    </w:p>
    <w:p w14:paraId="3EC28147" w14:textId="77777777" w:rsidR="00DC24C0" w:rsidRDefault="00DC24C0" w:rsidP="00320B98">
      <w:pPr>
        <w:pStyle w:val="NoSpacing"/>
        <w:rPr>
          <w:rFonts w:hint="eastAsia"/>
          <w:lang w:eastAsia="ja-JP"/>
        </w:rPr>
      </w:pPr>
      <w:r>
        <w:tab/>
        <w:t xml:space="preserve">Some of the summer incubations were completed in a greenhouse with full-spectrum lights. However, temperatures in the greenhouse steadily increased during the incubation and led to GPP and CR rates that were likely unrealistically high. As a result, all remaining incubations occurred in the laboratory. To determine the effect of different incubation </w:t>
      </w:r>
      <w:r w:rsidR="00932CF2">
        <w:t xml:space="preserve">locations, we simultaneously completed </w:t>
      </w:r>
    </w:p>
    <w:p w14:paraId="76CDB3AE" w14:textId="74F1BB76" w:rsidR="00AE5417" w:rsidRDefault="00AE5417" w:rsidP="00320B98">
      <w:pPr>
        <w:pStyle w:val="NoSpacing"/>
        <w:rPr>
          <w:lang w:eastAsia="ja-JP"/>
        </w:rPr>
      </w:pPr>
      <w:r>
        <w:rPr>
          <w:lang w:eastAsia="ja-JP"/>
        </w:rPr>
        <w:br w:type="page"/>
      </w:r>
    </w:p>
    <w:p w14:paraId="78B195E6" w14:textId="6E95D32D" w:rsidR="00AE5417" w:rsidRDefault="00AE5417" w:rsidP="00320B98">
      <w:pPr>
        <w:pStyle w:val="NoSpacing"/>
        <w:rPr>
          <w:rFonts w:hint="eastAsia"/>
          <w:lang w:eastAsia="ja-JP"/>
        </w:rPr>
      </w:pPr>
      <w:r>
        <w:rPr>
          <w:rFonts w:hint="eastAsia"/>
          <w:lang w:eastAsia="ja-JP"/>
        </w:rPr>
        <w:lastRenderedPageBreak/>
        <w:t>Nutrient L</w:t>
      </w:r>
      <w:r>
        <w:rPr>
          <w:lang w:eastAsia="ja-JP"/>
        </w:rPr>
        <w:t>i</w:t>
      </w:r>
      <w:r>
        <w:rPr>
          <w:rFonts w:hint="eastAsia"/>
          <w:lang w:eastAsia="ja-JP"/>
        </w:rPr>
        <w:t xml:space="preserve">mitation Table </w:t>
      </w:r>
      <w:r>
        <w:rPr>
          <w:lang w:eastAsia="ja-JP"/>
        </w:rPr>
        <w:t>–</w:t>
      </w:r>
      <w:r>
        <w:rPr>
          <w:rFonts w:hint="eastAsia"/>
          <w:lang w:eastAsia="ja-JP"/>
        </w:rPr>
        <w:t xml:space="preserve"> Community Respiration</w:t>
      </w:r>
    </w:p>
    <w:tbl>
      <w:tblPr>
        <w:tblStyle w:val="TableGrid"/>
        <w:tblW w:w="0" w:type="auto"/>
        <w:tblLook w:val="04A0" w:firstRow="1" w:lastRow="0" w:firstColumn="1" w:lastColumn="0" w:noHBand="0" w:noVBand="1"/>
      </w:tblPr>
      <w:tblGrid>
        <w:gridCol w:w="3192"/>
        <w:gridCol w:w="3192"/>
        <w:gridCol w:w="3192"/>
      </w:tblGrid>
      <w:tr w:rsidR="00AE5417" w14:paraId="55658141" w14:textId="77777777" w:rsidTr="00AE5417">
        <w:tc>
          <w:tcPr>
            <w:tcW w:w="3192" w:type="dxa"/>
          </w:tcPr>
          <w:p w14:paraId="799D4857" w14:textId="12540260" w:rsidR="00AE5417" w:rsidRDefault="00AE5417" w:rsidP="00320B98">
            <w:pPr>
              <w:pStyle w:val="NoSpacing"/>
              <w:rPr>
                <w:rFonts w:hint="eastAsia"/>
                <w:lang w:eastAsia="ja-JP"/>
              </w:rPr>
            </w:pPr>
            <w:r>
              <w:rPr>
                <w:rFonts w:hint="eastAsia"/>
                <w:lang w:eastAsia="ja-JP"/>
              </w:rPr>
              <w:t>Cle Elum</w:t>
            </w:r>
          </w:p>
        </w:tc>
        <w:tc>
          <w:tcPr>
            <w:tcW w:w="3192" w:type="dxa"/>
          </w:tcPr>
          <w:p w14:paraId="21ED26F2" w14:textId="3BEBC556" w:rsidR="00AE5417" w:rsidRDefault="00AE5417" w:rsidP="00320B98">
            <w:pPr>
              <w:pStyle w:val="NoSpacing"/>
              <w:rPr>
                <w:rFonts w:hint="eastAsia"/>
                <w:lang w:eastAsia="ja-JP"/>
              </w:rPr>
            </w:pPr>
            <w:r>
              <w:rPr>
                <w:rFonts w:hint="eastAsia"/>
                <w:lang w:eastAsia="ja-JP"/>
              </w:rPr>
              <w:t>Summer</w:t>
            </w:r>
          </w:p>
        </w:tc>
        <w:tc>
          <w:tcPr>
            <w:tcW w:w="3192" w:type="dxa"/>
          </w:tcPr>
          <w:p w14:paraId="21FBD6A0" w14:textId="4EDF2F52" w:rsidR="00AE5417" w:rsidRDefault="00AE5417" w:rsidP="00320B98">
            <w:pPr>
              <w:pStyle w:val="NoSpacing"/>
              <w:rPr>
                <w:rFonts w:hint="eastAsia"/>
                <w:lang w:eastAsia="ja-JP"/>
              </w:rPr>
            </w:pPr>
            <w:r>
              <w:rPr>
                <w:rFonts w:hint="eastAsia"/>
                <w:lang w:eastAsia="ja-JP"/>
              </w:rPr>
              <w:t xml:space="preserve">N limitation with serial P </w:t>
            </w:r>
            <w:r>
              <w:rPr>
                <w:lang w:eastAsia="ja-JP"/>
              </w:rPr>
              <w:t>limitation</w:t>
            </w:r>
            <w:r>
              <w:rPr>
                <w:rFonts w:hint="eastAsia"/>
                <w:lang w:eastAsia="ja-JP"/>
              </w:rPr>
              <w:t>; serial Si limitation win the presence of P</w:t>
            </w:r>
          </w:p>
        </w:tc>
      </w:tr>
      <w:tr w:rsidR="00AE5417" w14:paraId="523F3F10" w14:textId="77777777" w:rsidTr="00AE5417">
        <w:tc>
          <w:tcPr>
            <w:tcW w:w="3192" w:type="dxa"/>
          </w:tcPr>
          <w:p w14:paraId="321C7F3E" w14:textId="77777777" w:rsidR="00AE5417" w:rsidRDefault="00AE5417" w:rsidP="00320B98">
            <w:pPr>
              <w:pStyle w:val="NoSpacing"/>
              <w:rPr>
                <w:rFonts w:hint="eastAsia"/>
                <w:lang w:eastAsia="ja-JP"/>
              </w:rPr>
            </w:pPr>
          </w:p>
        </w:tc>
        <w:tc>
          <w:tcPr>
            <w:tcW w:w="3192" w:type="dxa"/>
          </w:tcPr>
          <w:p w14:paraId="0A4A4531" w14:textId="77777777" w:rsidR="00AE5417" w:rsidRDefault="00AE5417" w:rsidP="00320B98">
            <w:pPr>
              <w:pStyle w:val="NoSpacing"/>
              <w:rPr>
                <w:rFonts w:hint="eastAsia"/>
                <w:lang w:eastAsia="ja-JP"/>
              </w:rPr>
            </w:pPr>
          </w:p>
        </w:tc>
        <w:tc>
          <w:tcPr>
            <w:tcW w:w="3192" w:type="dxa"/>
          </w:tcPr>
          <w:p w14:paraId="5E4D3035" w14:textId="77777777" w:rsidR="00AE5417" w:rsidRDefault="00AE5417" w:rsidP="00320B98">
            <w:pPr>
              <w:pStyle w:val="NoSpacing"/>
              <w:rPr>
                <w:rFonts w:hint="eastAsia"/>
                <w:lang w:eastAsia="ja-JP"/>
              </w:rPr>
            </w:pPr>
          </w:p>
        </w:tc>
      </w:tr>
      <w:tr w:rsidR="00AE5417" w14:paraId="4506CBEC" w14:textId="77777777" w:rsidTr="00AE5417">
        <w:tc>
          <w:tcPr>
            <w:tcW w:w="3192" w:type="dxa"/>
          </w:tcPr>
          <w:p w14:paraId="5F633289" w14:textId="77777777" w:rsidR="00AE5417" w:rsidRDefault="00AE5417" w:rsidP="00320B98">
            <w:pPr>
              <w:pStyle w:val="NoSpacing"/>
              <w:rPr>
                <w:rFonts w:hint="eastAsia"/>
                <w:lang w:eastAsia="ja-JP"/>
              </w:rPr>
            </w:pPr>
          </w:p>
        </w:tc>
        <w:tc>
          <w:tcPr>
            <w:tcW w:w="3192" w:type="dxa"/>
          </w:tcPr>
          <w:p w14:paraId="7B9696EB" w14:textId="77777777" w:rsidR="00AE5417" w:rsidRDefault="00AE5417" w:rsidP="00320B98">
            <w:pPr>
              <w:pStyle w:val="NoSpacing"/>
              <w:rPr>
                <w:rFonts w:hint="eastAsia"/>
                <w:lang w:eastAsia="ja-JP"/>
              </w:rPr>
            </w:pPr>
          </w:p>
        </w:tc>
        <w:tc>
          <w:tcPr>
            <w:tcW w:w="3192" w:type="dxa"/>
          </w:tcPr>
          <w:p w14:paraId="5B28BDD0" w14:textId="77777777" w:rsidR="00AE5417" w:rsidRDefault="00AE5417" w:rsidP="00320B98">
            <w:pPr>
              <w:pStyle w:val="NoSpacing"/>
              <w:rPr>
                <w:rFonts w:hint="eastAsia"/>
                <w:lang w:eastAsia="ja-JP"/>
              </w:rPr>
            </w:pPr>
          </w:p>
        </w:tc>
      </w:tr>
      <w:tr w:rsidR="00AE5417" w14:paraId="06DF992D" w14:textId="77777777" w:rsidTr="00AE5417">
        <w:tc>
          <w:tcPr>
            <w:tcW w:w="3192" w:type="dxa"/>
          </w:tcPr>
          <w:p w14:paraId="30CA0423" w14:textId="77777777" w:rsidR="00AE5417" w:rsidRDefault="00AE5417" w:rsidP="00320B98">
            <w:pPr>
              <w:pStyle w:val="NoSpacing"/>
              <w:rPr>
                <w:rFonts w:hint="eastAsia"/>
                <w:lang w:eastAsia="ja-JP"/>
              </w:rPr>
            </w:pPr>
          </w:p>
        </w:tc>
        <w:tc>
          <w:tcPr>
            <w:tcW w:w="3192" w:type="dxa"/>
          </w:tcPr>
          <w:p w14:paraId="510D7FAA" w14:textId="77777777" w:rsidR="00AE5417" w:rsidRDefault="00AE5417" w:rsidP="00320B98">
            <w:pPr>
              <w:pStyle w:val="NoSpacing"/>
              <w:rPr>
                <w:rFonts w:hint="eastAsia"/>
                <w:lang w:eastAsia="ja-JP"/>
              </w:rPr>
            </w:pPr>
          </w:p>
        </w:tc>
        <w:tc>
          <w:tcPr>
            <w:tcW w:w="3192" w:type="dxa"/>
          </w:tcPr>
          <w:p w14:paraId="0DE78B81" w14:textId="77777777" w:rsidR="00AE5417" w:rsidRDefault="00AE5417" w:rsidP="00320B98">
            <w:pPr>
              <w:pStyle w:val="NoSpacing"/>
              <w:rPr>
                <w:rFonts w:hint="eastAsia"/>
                <w:lang w:eastAsia="ja-JP"/>
              </w:rPr>
            </w:pPr>
          </w:p>
        </w:tc>
      </w:tr>
      <w:tr w:rsidR="00AE5417" w14:paraId="142E078D" w14:textId="77777777" w:rsidTr="00AE5417">
        <w:tc>
          <w:tcPr>
            <w:tcW w:w="3192" w:type="dxa"/>
          </w:tcPr>
          <w:p w14:paraId="4B04077F" w14:textId="77777777" w:rsidR="00AE5417" w:rsidRDefault="00AE5417" w:rsidP="00320B98">
            <w:pPr>
              <w:pStyle w:val="NoSpacing"/>
              <w:rPr>
                <w:rFonts w:hint="eastAsia"/>
                <w:lang w:eastAsia="ja-JP"/>
              </w:rPr>
            </w:pPr>
          </w:p>
        </w:tc>
        <w:tc>
          <w:tcPr>
            <w:tcW w:w="3192" w:type="dxa"/>
          </w:tcPr>
          <w:p w14:paraId="74A07D28" w14:textId="77777777" w:rsidR="00AE5417" w:rsidRDefault="00AE5417" w:rsidP="00320B98">
            <w:pPr>
              <w:pStyle w:val="NoSpacing"/>
              <w:rPr>
                <w:rFonts w:hint="eastAsia"/>
                <w:lang w:eastAsia="ja-JP"/>
              </w:rPr>
            </w:pPr>
          </w:p>
        </w:tc>
        <w:tc>
          <w:tcPr>
            <w:tcW w:w="3192" w:type="dxa"/>
          </w:tcPr>
          <w:p w14:paraId="4BEE688F" w14:textId="77777777" w:rsidR="00AE5417" w:rsidRDefault="00AE5417" w:rsidP="00320B98">
            <w:pPr>
              <w:pStyle w:val="NoSpacing"/>
              <w:rPr>
                <w:rFonts w:hint="eastAsia"/>
                <w:lang w:eastAsia="ja-JP"/>
              </w:rPr>
            </w:pPr>
          </w:p>
        </w:tc>
      </w:tr>
      <w:tr w:rsidR="00AE5417" w14:paraId="176CEE06" w14:textId="77777777" w:rsidTr="00AE5417">
        <w:tc>
          <w:tcPr>
            <w:tcW w:w="3192" w:type="dxa"/>
          </w:tcPr>
          <w:p w14:paraId="44E45848" w14:textId="77777777" w:rsidR="00AE5417" w:rsidRDefault="00AE5417" w:rsidP="00320B98">
            <w:pPr>
              <w:pStyle w:val="NoSpacing"/>
              <w:rPr>
                <w:rFonts w:hint="eastAsia"/>
                <w:lang w:eastAsia="ja-JP"/>
              </w:rPr>
            </w:pPr>
          </w:p>
        </w:tc>
        <w:tc>
          <w:tcPr>
            <w:tcW w:w="3192" w:type="dxa"/>
          </w:tcPr>
          <w:p w14:paraId="071B9482" w14:textId="77777777" w:rsidR="00AE5417" w:rsidRDefault="00AE5417" w:rsidP="00320B98">
            <w:pPr>
              <w:pStyle w:val="NoSpacing"/>
              <w:rPr>
                <w:rFonts w:hint="eastAsia"/>
                <w:lang w:eastAsia="ja-JP"/>
              </w:rPr>
            </w:pPr>
          </w:p>
        </w:tc>
        <w:tc>
          <w:tcPr>
            <w:tcW w:w="3192" w:type="dxa"/>
          </w:tcPr>
          <w:p w14:paraId="481CE43E" w14:textId="77777777" w:rsidR="00AE5417" w:rsidRDefault="00AE5417" w:rsidP="00320B98">
            <w:pPr>
              <w:pStyle w:val="NoSpacing"/>
              <w:rPr>
                <w:rFonts w:hint="eastAsia"/>
                <w:lang w:eastAsia="ja-JP"/>
              </w:rPr>
            </w:pPr>
          </w:p>
        </w:tc>
      </w:tr>
      <w:tr w:rsidR="00AE5417" w14:paraId="77A464B3" w14:textId="77777777" w:rsidTr="00AE5417">
        <w:tc>
          <w:tcPr>
            <w:tcW w:w="3192" w:type="dxa"/>
          </w:tcPr>
          <w:p w14:paraId="48F42B4E" w14:textId="77777777" w:rsidR="00AE5417" w:rsidRDefault="00AE5417" w:rsidP="00320B98">
            <w:pPr>
              <w:pStyle w:val="NoSpacing"/>
              <w:rPr>
                <w:rFonts w:hint="eastAsia"/>
                <w:lang w:eastAsia="ja-JP"/>
              </w:rPr>
            </w:pPr>
          </w:p>
        </w:tc>
        <w:tc>
          <w:tcPr>
            <w:tcW w:w="3192" w:type="dxa"/>
          </w:tcPr>
          <w:p w14:paraId="5A2E21FB" w14:textId="77777777" w:rsidR="00AE5417" w:rsidRDefault="00AE5417" w:rsidP="00320B98">
            <w:pPr>
              <w:pStyle w:val="NoSpacing"/>
              <w:rPr>
                <w:rFonts w:hint="eastAsia"/>
                <w:lang w:eastAsia="ja-JP"/>
              </w:rPr>
            </w:pPr>
          </w:p>
        </w:tc>
        <w:tc>
          <w:tcPr>
            <w:tcW w:w="3192" w:type="dxa"/>
          </w:tcPr>
          <w:p w14:paraId="36DA8170" w14:textId="77777777" w:rsidR="00AE5417" w:rsidRDefault="00AE5417" w:rsidP="00320B98">
            <w:pPr>
              <w:pStyle w:val="NoSpacing"/>
              <w:rPr>
                <w:rFonts w:hint="eastAsia"/>
                <w:lang w:eastAsia="ja-JP"/>
              </w:rPr>
            </w:pPr>
          </w:p>
        </w:tc>
      </w:tr>
      <w:tr w:rsidR="00AE5417" w14:paraId="14656EB0" w14:textId="77777777" w:rsidTr="00AE5417">
        <w:tc>
          <w:tcPr>
            <w:tcW w:w="3192" w:type="dxa"/>
          </w:tcPr>
          <w:p w14:paraId="78B81E03" w14:textId="4C1BCFB3" w:rsidR="00AE5417" w:rsidRDefault="00DE1EFF" w:rsidP="00320B98">
            <w:pPr>
              <w:pStyle w:val="NoSpacing"/>
              <w:rPr>
                <w:rFonts w:hint="eastAsia"/>
                <w:lang w:eastAsia="ja-JP"/>
              </w:rPr>
            </w:pPr>
            <w:r>
              <w:rPr>
                <w:rFonts w:hint="eastAsia"/>
                <w:lang w:eastAsia="ja-JP"/>
              </w:rPr>
              <w:t>Mabton</w:t>
            </w:r>
          </w:p>
        </w:tc>
        <w:tc>
          <w:tcPr>
            <w:tcW w:w="3192" w:type="dxa"/>
          </w:tcPr>
          <w:p w14:paraId="4A644403" w14:textId="61FBF2D3" w:rsidR="00AE5417" w:rsidRDefault="00DE1EFF" w:rsidP="00320B98">
            <w:pPr>
              <w:pStyle w:val="NoSpacing"/>
              <w:rPr>
                <w:rFonts w:hint="eastAsia"/>
                <w:lang w:eastAsia="ja-JP"/>
              </w:rPr>
            </w:pPr>
            <w:r>
              <w:rPr>
                <w:rFonts w:hint="eastAsia"/>
                <w:lang w:eastAsia="ja-JP"/>
              </w:rPr>
              <w:t>Fall</w:t>
            </w:r>
          </w:p>
        </w:tc>
        <w:tc>
          <w:tcPr>
            <w:tcW w:w="3192" w:type="dxa"/>
          </w:tcPr>
          <w:p w14:paraId="36592C52" w14:textId="77777777" w:rsidR="00AE5417" w:rsidRDefault="00DE1EFF" w:rsidP="00320B98">
            <w:pPr>
              <w:pStyle w:val="NoSpacing"/>
              <w:rPr>
                <w:rFonts w:hint="eastAsia"/>
                <w:lang w:eastAsia="ja-JP"/>
              </w:rPr>
            </w:pPr>
            <w:r>
              <w:rPr>
                <w:rFonts w:hint="eastAsia"/>
                <w:lang w:eastAsia="ja-JP"/>
              </w:rPr>
              <w:t>P inhibition in presence of N; Si inhibits (with N); Si neutral in presence of P (but not limiting)</w:t>
            </w:r>
          </w:p>
          <w:p w14:paraId="039208BA" w14:textId="16061451" w:rsidR="00DE1EFF" w:rsidRDefault="00DE1EFF" w:rsidP="00320B98">
            <w:pPr>
              <w:pStyle w:val="NoSpacing"/>
              <w:rPr>
                <w:rFonts w:hint="eastAsia"/>
                <w:lang w:eastAsia="ja-JP"/>
              </w:rPr>
            </w:pPr>
            <w:r>
              <w:rPr>
                <w:rFonts w:hint="eastAsia"/>
                <w:lang w:eastAsia="ja-JP"/>
              </w:rPr>
              <w:t>*does KH2PO4 buffer the high Si pH?</w:t>
            </w:r>
            <w:bookmarkStart w:id="0" w:name="_GoBack"/>
            <w:bookmarkEnd w:id="0"/>
          </w:p>
        </w:tc>
      </w:tr>
    </w:tbl>
    <w:p w14:paraId="36FA5010" w14:textId="77777777" w:rsidR="00AE5417" w:rsidRPr="00AE5417" w:rsidRDefault="00AE5417" w:rsidP="00320B98">
      <w:pPr>
        <w:pStyle w:val="NoSpacing"/>
        <w:rPr>
          <w:rFonts w:hint="eastAsia"/>
          <w:lang w:eastAsia="ja-JP"/>
        </w:rPr>
      </w:pPr>
    </w:p>
    <w:sectPr w:rsidR="00AE5417" w:rsidRPr="00AE5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B98"/>
    <w:rsid w:val="00320B98"/>
    <w:rsid w:val="0047299A"/>
    <w:rsid w:val="005C574F"/>
    <w:rsid w:val="007427CC"/>
    <w:rsid w:val="00932CF2"/>
    <w:rsid w:val="00AE5417"/>
    <w:rsid w:val="00DC24C0"/>
    <w:rsid w:val="00DE1EFF"/>
    <w:rsid w:val="00ED0F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B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98"/>
    <w:pPr>
      <w:spacing w:after="0" w:line="240" w:lineRule="auto"/>
    </w:pPr>
  </w:style>
  <w:style w:type="table" w:styleId="TableGrid">
    <w:name w:val="Table Grid"/>
    <w:basedOn w:val="TableNormal"/>
    <w:uiPriority w:val="39"/>
    <w:rsid w:val="00AE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0B98"/>
    <w:pPr>
      <w:spacing w:after="0" w:line="240" w:lineRule="auto"/>
    </w:pPr>
  </w:style>
  <w:style w:type="table" w:styleId="TableGrid">
    <w:name w:val="Table Grid"/>
    <w:basedOn w:val="TableNormal"/>
    <w:uiPriority w:val="39"/>
    <w:rsid w:val="00AE5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BB5441F300C5429FF9C6182EFE4152" ma:contentTypeVersion="13" ma:contentTypeDescription="Create a new document." ma:contentTypeScope="" ma:versionID="0a0b9867b7c95b2578c2cfb5bdad8c2f">
  <xsd:schema xmlns:xsd="http://www.w3.org/2001/XMLSchema" xmlns:xs="http://www.w3.org/2001/XMLSchema" xmlns:p="http://schemas.microsoft.com/office/2006/metadata/properties" xmlns:ns3="df18906b-e4f5-4cff-88c2-67f305a83a2c" xmlns:ns4="b11f0445-4b97-44bf-9ae2-5b2f73be5dbf" targetNamespace="http://schemas.microsoft.com/office/2006/metadata/properties" ma:root="true" ma:fieldsID="69afee59d4143b52ae5fd3a84efed10a" ns3:_="" ns4:_="">
    <xsd:import namespace="df18906b-e4f5-4cff-88c2-67f305a83a2c"/>
    <xsd:import namespace="b11f0445-4b97-44bf-9ae2-5b2f73be5d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18906b-e4f5-4cff-88c2-67f305a83a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11f0445-4b97-44bf-9ae2-5b2f73be5dbf"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27CA59-F6F0-4733-8910-719EB880CE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45A2BE-E0A8-4EB6-A15A-56AB22D7DAFA}">
  <ds:schemaRefs>
    <ds:schemaRef ds:uri="http://schemas.microsoft.com/sharepoint/v3/contenttype/forms"/>
  </ds:schemaRefs>
</ds:datastoreItem>
</file>

<file path=customXml/itemProps3.xml><?xml version="1.0" encoding="utf-8"?>
<ds:datastoreItem xmlns:ds="http://schemas.openxmlformats.org/officeDocument/2006/customXml" ds:itemID="{471E79A9-42BC-4D03-8B49-08076CD227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18906b-e4f5-4cff-88c2-67f305a83a2c"/>
    <ds:schemaRef ds:uri="b11f0445-4b97-44bf-9ae2-5b2f73be5d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Washington State University</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Roley, Sarah</dc:creator>
  <cp:keywords/>
  <dc:description/>
  <cp:lastModifiedBy>Clay</cp:lastModifiedBy>
  <cp:revision>4</cp:revision>
  <dcterms:created xsi:type="dcterms:W3CDTF">2021-01-07T21:22:00Z</dcterms:created>
  <dcterms:modified xsi:type="dcterms:W3CDTF">2021-03-04T18:44:00Z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0x01010042BB5441F300C5429FF9C6182EFE4152</vt:lpwstr>
  </property>
</Properties>
</file>