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1j1nr73i0jyo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Blueprint Value Flow Governance &amp; Ownership Architecture</w:t>
      </w:r>
    </w:p>
    <w:bookmarkStart w:colFirst="0" w:colLast="0" w:name="bookmark=id.5bwcmmaqk5fk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defines the governance and ownership architecture for Blueprint’s end‑to‑end value delivery model. It establish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 clear ownership, decision rights, and success metrics at each altitude of the organ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ization, ensuring accountability, scalability, and operational clarity.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structure is designed to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Stream ownership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Effective delegation and decision‑making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Measurable, end‑to‑end value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clean foundation for interviews, workshops, and future operating model evolution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emyivwq75w3" w:id="2"/>
    <w:bookmarkEnd w:id="2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Guiding Principles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Ownership implies decision authority</w:t>
      </w:r>
      <w:r w:rsidDel="00000000" w:rsidR="00000000" w:rsidRPr="00000000">
        <w:rPr>
          <w:rtl w:val="0"/>
        </w:rPr>
        <w:t xml:space="preserve"> Every owner must be able to make prioritization and tradeoff decisions.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Single‑threaded accountability</w:t>
      </w:r>
      <w:r w:rsidDel="00000000" w:rsidR="00000000" w:rsidRPr="00000000">
        <w:rPr>
          <w:rtl w:val="0"/>
        </w:rPr>
        <w:t xml:space="preserve"> Each level has one clearly accountable owner, not committees.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Metrics align to altitude</w:t>
      </w:r>
      <w:r w:rsidDel="00000000" w:rsidR="00000000" w:rsidRPr="00000000">
        <w:rPr>
          <w:rtl w:val="0"/>
        </w:rPr>
        <w:t xml:space="preserve"> Each level owns metrics appropriate to its scope of influence.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Structure before optimization</w:t>
      </w:r>
      <w:r w:rsidDel="00000000" w:rsidR="00000000" w:rsidRPr="00000000">
        <w:rPr>
          <w:rtl w:val="0"/>
        </w:rPr>
        <w:t xml:space="preserve"> Ownership and boundaries must be validated before workflow or tooling redesign.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7ryfh93vbjw" w:id="3"/>
    <w:bookmarkEnd w:id="3"/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1. Executive Level – Enterprise Value Architecture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Darin and Mark (jointly, via executive leadership)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End‑to‑end enterprise value delivery across all Value Streams.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Focus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Direction, arbitration, and system‑level optimization.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Metrics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(pla</w:t>
      </w:r>
      <w:r w:rsidDel="00000000" w:rsidR="00000000" w:rsidRPr="00000000">
        <w:rPr>
          <w:rtl w:val="0"/>
        </w:rPr>
        <w:t xml:space="preserve">ceholder)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cycle time (lead → payoff)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 throughput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Yield and risk performance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Builder, agent, and investor satisfaction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Capacity-to-growth ratio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enterprise Value Streams and boundaries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Value Stream Owners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end-to-end success metrics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 cross-Value Stream conflicts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sequencing and prioritization of major improvement initiatives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Non‑Responsibilities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Day‑to‑day operational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or tooling design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tyvwxhse9e9" w:id="4"/>
    <w:bookmarkEnd w:id="4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2. Value Stream Level – Outcome Accountability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Single accountable Functional Leader per Value Stream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End‑to‑end performance of a specific Value Stream.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Focus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Outcome accountability and continuous improvement across the full stream.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Metrics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(placeholder)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Stream cycle time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Stream throughput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uality and rework rates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Cost-to-serve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Predictability and variability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Workflow Groups within the Value Stream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Workflow Group Owners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and own Value Stream-level metrics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Prioritize improvement efforts across Workflow Groups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Escalate cross-Value Stream dependencies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Accountability Note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Value Stream Owners remain accountable even when work spans multiple teams, systems, or external partners.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pny8pg5zi50" w:id="5"/>
    <w:bookmarkEnd w:id="5"/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 Workflow Group Level – Operational Control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Named Operational Owner (manager or senior lead with decision authority)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coherent set of workflows that are managed, balanced, and optimized together.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Focus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Operational control, capacity balancing, and dependency management.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Metrics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(placeholder)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Group cycle time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 adherence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and correction rates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 utilization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and handoff latency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constituent Workflows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Workflow Owners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Workflow Group-level metrics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capacity across workflows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automation, tooling, and process improvement opportunities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yjzw6wmjrsg" w:id="6"/>
    <w:bookmarkEnd w:id="6"/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 Workflow Level – Execution and Continuous Improvement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Workflow Owner (lead or senior individual contributor with real influence)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single, repeatable flow of work with a clear trigger and output.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Focus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Execution quality, bottleneck identification, and improvement proposals.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Metrics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(pla</w:t>
      </w:r>
      <w:r w:rsidDel="00000000" w:rsidR="00000000" w:rsidRPr="00000000">
        <w:rPr>
          <w:rtl w:val="0"/>
        </w:rPr>
        <w:t xml:space="preserve">ceholder)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to complete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First-pass yield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Rework and exception rates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Queue and wait time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Decisions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and refine workflow steps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bottlenecks and failure modes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Surface data gaps and dependencies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Propose improvements and automation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Boundary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Workflow Owners surface facts and recommendations upward. They do not set strategy.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4w6pet5oywl" w:id="7"/>
    <w:bookmarkEnd w:id="7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How This Architecture Is Used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Executive sessions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Validate Value Streams, assign owners, align on enterprise metrics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Stream reviews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Confirm Workflow Groups and operational accountability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18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Conducted with Owners at each level to validate inputs, outputs, and pain points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Workshops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Structured around Workflow Groups and cross‑functional dependencies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P4yCjQsUOx9Wfh01STXxTWzGw==">CgMxLjAyD2lkLjFqMW5yNzNpMGp5bzIPaWQuNWJ3Y21tYXFrNWZrMg9pZC5pZW15aXZ3cTc1dzMyD2lkLmw3cnlmaDkzdmJqdzIPaWQueHR5dnd4aHNlOWU5Mg9pZC5mcG55OHBnNXppNTAyD2lkLml5anp3NndtanJzZzIPaWQuNTR3NnBldDVveXdsOAByITFjamRyQ2xPWFctYm5rcTdwVEcyeEdJZDVuZ044Vmcxdw==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2025-12-23T19:52:47Z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