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225116" w14:textId="7A1B5F51" w:rsidR="00852AD3" w:rsidRDefault="00852AD3">
      <w:pPr>
        <w:rPr>
          <w:b/>
          <w:bCs/>
        </w:rPr>
      </w:pPr>
      <w:r>
        <w:rPr>
          <w:b/>
          <w:bCs/>
        </w:rPr>
        <w:t>Methods</w:t>
      </w:r>
    </w:p>
    <w:p w14:paraId="6BBEA564" w14:textId="584F11A7" w:rsidR="00852AD3" w:rsidRDefault="00852AD3">
      <w:r>
        <w:t>To study the epidemiological and evolutionary consequences of stochasticity in host immune state, we nest a within-host model of the interaction between parasites and the adaptive immune system (</w:t>
      </w:r>
      <w:proofErr w:type="spellStart"/>
      <w:r>
        <w:t>Cressler</w:t>
      </w:r>
      <w:proofErr w:type="spellEnd"/>
      <w:r>
        <w:t xml:space="preserve"> et al. 2024) into a simple </w:t>
      </w:r>
      <w:r w:rsidR="00BF54E6">
        <w:t>susceptible-infected (</w:t>
      </w:r>
      <w:r>
        <w:t>SI</w:t>
      </w:r>
      <w:r w:rsidR="00BF54E6">
        <w:t>)</w:t>
      </w:r>
      <w:r>
        <w:t xml:space="preserve"> epidemiological model. </w:t>
      </w:r>
      <w:r w:rsidR="00BF54E6" w:rsidRPr="00BF54E6">
        <w:t>We use a Gillespie algorithm to stochastically simulate coupled within-host and between-host dynamics</w:t>
      </w:r>
      <w:r w:rsidR="00316051">
        <w:t xml:space="preserve">, leading to a stochastic, individual-based model with an underlying deterministic skeleton (DeLong and </w:t>
      </w:r>
      <w:proofErr w:type="spellStart"/>
      <w:r w:rsidR="00316051">
        <w:t>Cressler</w:t>
      </w:r>
      <w:proofErr w:type="spellEnd"/>
      <w:r w:rsidR="00316051">
        <w:t xml:space="preserve"> 2023)</w:t>
      </w:r>
      <w:r w:rsidR="00BF54E6" w:rsidRPr="00BF54E6">
        <w:t>.</w:t>
      </w:r>
      <w:r w:rsidR="00BF54E6">
        <w:t xml:space="preserve"> The underlying deterministic </w:t>
      </w:r>
      <w:r>
        <w:t>within-host model we consider is</w:t>
      </w:r>
      <w:r w:rsidR="00B276C9">
        <w:t>:</w:t>
      </w:r>
    </w:p>
    <w:p w14:paraId="5EDF77DD" w14:textId="77777777" w:rsidR="00BF54E6" w:rsidRDefault="00BF54E6"/>
    <w:p w14:paraId="60617D07" w14:textId="77777777" w:rsidR="00C12C1A" w:rsidRDefault="00C12C1A" w:rsidP="00852AD3">
      <w:pPr>
        <w:jc w:val="both"/>
        <w:rPr>
          <w:rFonts w:ascii="Arial" w:hAnsi="Arial" w:cs="Arial"/>
          <w:sz w:val="22"/>
          <w:szCs w:val="22"/>
          <w:lang w:val="en-GB"/>
        </w:rPr>
      </w:pPr>
    </w:p>
    <w:tbl>
      <w:tblPr>
        <w:tblStyle w:val="TableGrid"/>
        <w:tblW w:w="0" w:type="auto"/>
        <w:tblLook w:val="04A0" w:firstRow="1" w:lastRow="0" w:firstColumn="1" w:lastColumn="0" w:noHBand="0" w:noVBand="1"/>
      </w:tblPr>
      <w:tblGrid>
        <w:gridCol w:w="8865"/>
        <w:gridCol w:w="485"/>
      </w:tblGrid>
      <w:tr w:rsidR="001D3A81" w14:paraId="639F3744" w14:textId="77777777" w:rsidTr="001D3A81">
        <w:tc>
          <w:tcPr>
            <w:tcW w:w="8905" w:type="dxa"/>
          </w:tcPr>
          <w:p w14:paraId="59EE0B0B" w14:textId="77777777" w:rsidR="001D3A81" w:rsidRPr="00C47D5D" w:rsidRDefault="00000000" w:rsidP="001D3A81">
            <w:pPr>
              <w:jc w:val="both"/>
              <w:rPr>
                <w:rFonts w:ascii="Arial"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num>
                  <m:den>
                    <m:r>
                      <w:rPr>
                        <w:rFonts w:ascii="Cambria Math" w:hAnsi="Cambria Math" w:cs="Arial"/>
                        <w:sz w:val="22"/>
                        <w:szCs w:val="22"/>
                        <w:lang w:val="en-GB"/>
                      </w:rPr>
                      <m:t>dt</m:t>
                    </m:r>
                  </m:den>
                </m:f>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sSub>
                          <m:sSubPr>
                            <m:ctrlPr>
                              <w:rPr>
                                <w:rFonts w:ascii="Cambria Math" w:hAnsi="Cambria Math" w:cs="Arial"/>
                                <w:i/>
                                <w:sz w:val="22"/>
                                <w:szCs w:val="22"/>
                                <w:lang w:val="en-GB"/>
                              </w:rPr>
                            </m:ctrlPr>
                          </m:sSubPr>
                          <m:e>
                            <m:r>
                              <w:rPr>
                                <w:rFonts w:ascii="Cambria Math" w:hAnsi="Cambria Math" w:cs="Arial"/>
                                <w:sz w:val="22"/>
                                <w:szCs w:val="22"/>
                                <w:lang w:val="en-GB"/>
                              </w:rPr>
                              <m:t>b</m:t>
                            </m:r>
                          </m:e>
                          <m:sub>
                            <m:r>
                              <w:rPr>
                                <w:rFonts w:ascii="Cambria Math" w:hAnsi="Cambria Math" w:cs="Arial"/>
                                <w:sz w:val="22"/>
                                <w:szCs w:val="22"/>
                                <w:lang w:val="en-GB"/>
                              </w:rPr>
                              <m:t>1</m:t>
                            </m:r>
                          </m:sub>
                        </m:sSub>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 xml:space="preserve">External </m:t>
                        </m:r>
                      </m:e>
                      <m:e>
                        <m:r>
                          <m:rPr>
                            <m:sty m:val="p"/>
                          </m:rPr>
                          <w:rPr>
                            <w:rFonts w:ascii="Cambria Math" w:hAnsi="Cambria Math" w:cs="Arial"/>
                            <w:sz w:val="22"/>
                            <w:szCs w:val="22"/>
                            <w:lang w:val="en-GB"/>
                          </w:rPr>
                          <m:t>activation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1</m:t>
                                </m:r>
                              </m:sub>
                            </m:sSub>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1</m:t>
                                </m:r>
                              </m:sub>
                            </m:sSub>
                            <m:r>
                              <w:rPr>
                                <w:rFonts w:ascii="Cambria Math" w:hAnsi="Cambria Math" w:cs="Arial"/>
                                <w:sz w:val="22"/>
                                <w:szCs w:val="22"/>
                                <w:lang w:val="en-GB"/>
                              </w:rPr>
                              <m:t>+P</m:t>
                            </m:r>
                          </m:den>
                        </m:f>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 xml:space="preserve">Parasite </m:t>
                        </m:r>
                      </m:e>
                      <m:e>
                        <m:r>
                          <m:rPr>
                            <m:sty m:val="p"/>
                          </m:rPr>
                          <w:rPr>
                            <w:rFonts w:ascii="Cambria Math" w:hAnsi="Cambria Math" w:cs="Arial"/>
                            <w:sz w:val="22"/>
                            <w:szCs w:val="22"/>
                            <w:lang w:val="en-GB"/>
                          </w:rPr>
                          <m:t>activation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s</m:t>
                                    </m:r>
                                  </m:e>
                                  <m:sub>
                                    <m:r>
                                      <w:rPr>
                                        <w:rFonts w:ascii="Cambria Math" w:hAnsi="Cambria Math" w:cs="Arial"/>
                                        <w:sz w:val="22"/>
                                        <w:szCs w:val="22"/>
                                        <w:lang w:val="en-GB"/>
                                      </w:rPr>
                                      <m:t>1</m:t>
                                    </m:r>
                                  </m:sub>
                                </m:sSub>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1</m:t>
                                    </m:r>
                                  </m:sub>
                                  <m:sup>
                                    <m:r>
                                      <w:rPr>
                                        <w:rFonts w:ascii="Cambria Math" w:hAnsi="Cambria Math" w:cs="Arial"/>
                                        <w:sz w:val="22"/>
                                        <w:szCs w:val="22"/>
                                        <w:lang w:val="en-GB"/>
                                      </w:rPr>
                                      <m:t>2</m:t>
                                    </m:r>
                                  </m:sup>
                                </m:sSubSup>
                              </m:num>
                              <m:den>
                                <m:sSubSup>
                                  <m:sSubSupPr>
                                    <m:ctrlPr>
                                      <w:rPr>
                                        <w:rFonts w:ascii="Cambria Math" w:hAnsi="Cambria Math" w:cs="Arial"/>
                                        <w:i/>
                                        <w:sz w:val="22"/>
                                        <w:szCs w:val="22"/>
                                        <w:lang w:val="en-GB"/>
                                      </w:rPr>
                                    </m:ctrlPr>
                                  </m:sSubSupPr>
                                  <m:e>
                                    <m:r>
                                      <w:rPr>
                                        <w:rFonts w:ascii="Cambria Math" w:hAnsi="Cambria Math" w:cs="Arial"/>
                                        <w:sz w:val="22"/>
                                        <w:szCs w:val="22"/>
                                        <w:lang w:val="en-GB"/>
                                      </w:rPr>
                                      <m:t>S</m:t>
                                    </m:r>
                                  </m:e>
                                  <m:sub>
                                    <m:r>
                                      <w:rPr>
                                        <w:rFonts w:ascii="Cambria Math" w:hAnsi="Cambria Math" w:cs="Arial"/>
                                        <w:sz w:val="22"/>
                                        <w:szCs w:val="22"/>
                                        <w:lang w:val="en-GB"/>
                                      </w:rPr>
                                      <m:t>1</m:t>
                                    </m:r>
                                  </m:sub>
                                  <m:sup>
                                    <m:r>
                                      <w:rPr>
                                        <w:rFonts w:ascii="Cambria Math" w:hAnsi="Cambria Math" w:cs="Arial"/>
                                        <w:sz w:val="22"/>
                                        <w:szCs w:val="22"/>
                                        <w:lang w:val="en-GB"/>
                                      </w:rPr>
                                      <m:t>p</m:t>
                                    </m:r>
                                  </m:sup>
                                </m:sSubSup>
                                <m:r>
                                  <w:rPr>
                                    <w:rFonts w:ascii="Cambria Math" w:hAnsi="Cambria Math" w:cs="Arial"/>
                                    <w:sz w:val="22"/>
                                    <w:szCs w:val="22"/>
                                    <w:lang w:val="en-GB"/>
                                  </w:rPr>
                                  <m:t>+</m:t>
                                </m:r>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1</m:t>
                                    </m:r>
                                  </m:sub>
                                  <m:sup>
                                    <m:r>
                                      <w:rPr>
                                        <w:rFonts w:ascii="Cambria Math" w:hAnsi="Cambria Math" w:cs="Arial"/>
                                        <w:sz w:val="22"/>
                                        <w:szCs w:val="22"/>
                                        <w:lang w:val="en-GB"/>
                                      </w:rPr>
                                      <m:t>2</m:t>
                                    </m:r>
                                  </m:sup>
                                </m:sSubSup>
                              </m:den>
                            </m:f>
                          </m:e>
                        </m:d>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Self-</m:t>
                        </m:r>
                      </m:e>
                      <m:e>
                        <m:r>
                          <m:rPr>
                            <m:sty m:val="p"/>
                          </m:rPr>
                          <w:rPr>
                            <w:rFonts w:ascii="Cambria Math" w:hAnsi="Cambria Math" w:cs="Arial"/>
                            <w:sz w:val="22"/>
                            <w:szCs w:val="22"/>
                            <w:lang w:val="en-GB"/>
                          </w:rPr>
                          <m:t>activation</m:t>
                        </m:r>
                      </m:e>
                    </m:eqArr>
                  </m:lim>
                </m:limLow>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12</m:t>
                                    </m:r>
                                  </m:sub>
                                </m:sSub>
                              </m:num>
                              <m:den>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12</m:t>
                                    </m:r>
                                  </m:sub>
                                </m:sSub>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den>
                            </m:f>
                          </m:e>
                        </m:d>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Cross-</m:t>
                        </m:r>
                      </m:e>
                      <m:e>
                        <m:r>
                          <m:rPr>
                            <m:sty m:val="p"/>
                          </m:rPr>
                          <w:rPr>
                            <w:rFonts w:ascii="Cambria Math" w:hAnsi="Cambria Math" w:cs="Arial"/>
                            <w:sz w:val="22"/>
                            <w:szCs w:val="22"/>
                            <w:lang w:val="en-GB"/>
                          </w:rPr>
                          <m:t>inhibition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m</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e>
                    </m:groupChr>
                  </m:e>
                  <m:lim>
                    <m:r>
                      <m:rPr>
                        <m:sty m:val="p"/>
                      </m:rPr>
                      <w:rPr>
                        <w:rFonts w:ascii="Cambria Math" w:hAnsi="Cambria Math" w:cs="Arial"/>
                        <w:sz w:val="22"/>
                        <w:szCs w:val="22"/>
                        <w:lang w:val="en-GB"/>
                      </w:rPr>
                      <m:t>Apoptosis</m:t>
                    </m:r>
                  </m:lim>
                </m:limLow>
              </m:oMath>
            </m:oMathPara>
          </w:p>
          <w:p w14:paraId="1C2A80B6" w14:textId="77777777" w:rsidR="001D3A81" w:rsidRDefault="001D3A81" w:rsidP="001D3A81">
            <w:pPr>
              <w:jc w:val="both"/>
              <w:rPr>
                <w:rFonts w:ascii="Arial" w:hAnsi="Arial" w:cs="Arial"/>
                <w:sz w:val="22"/>
                <w:szCs w:val="22"/>
                <w:lang w:val="en-GB"/>
              </w:rPr>
            </w:pPr>
          </w:p>
          <w:p w14:paraId="2598862F" w14:textId="77777777" w:rsidR="001D3A81" w:rsidRPr="00830364" w:rsidRDefault="00000000" w:rsidP="001D3A81">
            <w:pPr>
              <w:jc w:val="both"/>
              <w:rPr>
                <w:rFonts w:ascii="Arial"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num>
                  <m:den>
                    <m:r>
                      <w:rPr>
                        <w:rFonts w:ascii="Cambria Math" w:hAnsi="Cambria Math" w:cs="Arial"/>
                        <w:sz w:val="22"/>
                        <w:szCs w:val="22"/>
                        <w:lang w:val="en-GB"/>
                      </w:rPr>
                      <m:t>dt</m:t>
                    </m:r>
                  </m:den>
                </m:f>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b</m:t>
                    </m:r>
                  </m:e>
                  <m:sub>
                    <m:r>
                      <w:rPr>
                        <w:rFonts w:ascii="Cambria Math" w:hAnsi="Cambria Math" w:cs="Arial"/>
                        <w:sz w:val="22"/>
                        <w:szCs w:val="22"/>
                        <w:lang w:val="en-GB"/>
                      </w:rPr>
                      <m:t>2</m:t>
                    </m:r>
                  </m:sub>
                </m:sSub>
                <m:r>
                  <w:rPr>
                    <w:rFonts w:ascii="Cambria Math" w:hAnsi="Cambria Math" w:cs="Arial"/>
                    <w:sz w:val="22"/>
                    <w:szCs w:val="22"/>
                    <w:lang w:val="en-GB"/>
                  </w:rPr>
                  <m:t>+</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2</m:t>
                        </m:r>
                      </m:sub>
                    </m:sSub>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2</m:t>
                        </m:r>
                      </m:sub>
                    </m:sSub>
                    <m:r>
                      <w:rPr>
                        <w:rFonts w:ascii="Cambria Math" w:hAnsi="Cambria Math" w:cs="Arial"/>
                        <w:sz w:val="22"/>
                        <w:szCs w:val="22"/>
                        <w:lang w:val="en-GB"/>
                      </w:rPr>
                      <m:t>+P</m:t>
                    </m:r>
                  </m:den>
                </m:f>
                <m:r>
                  <w:rPr>
                    <w:rFonts w:ascii="Cambria Math" w:hAnsi="Cambria Math" w:cs="Arial"/>
                    <w:sz w:val="22"/>
                    <w:szCs w:val="22"/>
                    <w:lang w:val="en-GB"/>
                  </w:rPr>
                  <m:t>+</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s</m:t>
                        </m:r>
                      </m:e>
                      <m:sub>
                        <m:r>
                          <w:rPr>
                            <w:rFonts w:ascii="Cambria Math" w:hAnsi="Cambria Math" w:cs="Arial"/>
                            <w:sz w:val="22"/>
                            <w:szCs w:val="22"/>
                            <w:lang w:val="en-GB"/>
                          </w:rPr>
                          <m:t>2</m:t>
                        </m:r>
                      </m:sub>
                    </m:sSub>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2</m:t>
                        </m:r>
                      </m:sub>
                      <m:sup>
                        <m:r>
                          <w:rPr>
                            <w:rFonts w:ascii="Cambria Math" w:hAnsi="Cambria Math" w:cs="Arial"/>
                            <w:sz w:val="22"/>
                            <w:szCs w:val="22"/>
                            <w:lang w:val="en-GB"/>
                          </w:rPr>
                          <m:t>2</m:t>
                        </m:r>
                      </m:sup>
                    </m:sSubSup>
                  </m:num>
                  <m:den>
                    <m:sSubSup>
                      <m:sSubSupPr>
                        <m:ctrlPr>
                          <w:rPr>
                            <w:rFonts w:ascii="Cambria Math" w:hAnsi="Cambria Math" w:cs="Arial"/>
                            <w:i/>
                            <w:sz w:val="22"/>
                            <w:szCs w:val="22"/>
                            <w:lang w:val="en-GB"/>
                          </w:rPr>
                        </m:ctrlPr>
                      </m:sSubSupPr>
                      <m:e>
                        <m:r>
                          <w:rPr>
                            <w:rFonts w:ascii="Cambria Math" w:hAnsi="Cambria Math" w:cs="Arial"/>
                            <w:sz w:val="22"/>
                            <w:szCs w:val="22"/>
                            <w:lang w:val="en-GB"/>
                          </w:rPr>
                          <m:t>S</m:t>
                        </m:r>
                      </m:e>
                      <m:sub>
                        <m:r>
                          <w:rPr>
                            <w:rFonts w:ascii="Cambria Math" w:hAnsi="Cambria Math" w:cs="Arial"/>
                            <w:sz w:val="22"/>
                            <w:szCs w:val="22"/>
                            <w:lang w:val="en-GB"/>
                          </w:rPr>
                          <m:t>2</m:t>
                        </m:r>
                      </m:sub>
                      <m:sup>
                        <m:r>
                          <w:rPr>
                            <w:rFonts w:ascii="Cambria Math" w:hAnsi="Cambria Math" w:cs="Arial"/>
                            <w:sz w:val="22"/>
                            <w:szCs w:val="22"/>
                            <w:lang w:val="en-GB"/>
                          </w:rPr>
                          <m:t>2</m:t>
                        </m:r>
                      </m:sup>
                    </m:sSubSup>
                    <m:r>
                      <w:rPr>
                        <w:rFonts w:ascii="Cambria Math" w:hAnsi="Cambria Math" w:cs="Arial"/>
                        <w:sz w:val="22"/>
                        <w:szCs w:val="22"/>
                        <w:lang w:val="en-GB"/>
                      </w:rPr>
                      <m:t>+</m:t>
                    </m:r>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2</m:t>
                        </m:r>
                      </m:sub>
                      <m:sup>
                        <m:r>
                          <w:rPr>
                            <w:rFonts w:ascii="Cambria Math" w:hAnsi="Cambria Math" w:cs="Arial"/>
                            <w:sz w:val="22"/>
                            <w:szCs w:val="22"/>
                            <w:lang w:val="en-GB"/>
                          </w:rPr>
                          <m:t>2</m:t>
                        </m:r>
                      </m:sup>
                    </m:sSubSup>
                  </m:den>
                </m:f>
                <m:r>
                  <w:rPr>
                    <w:rFonts w:ascii="Cambria Math" w:hAnsi="Cambria Math" w:cs="Arial"/>
                    <w:sz w:val="22"/>
                    <w:szCs w:val="22"/>
                    <w:lang w:val="en-GB"/>
                  </w:rPr>
                  <m:t xml:space="preserve"> </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21</m:t>
                        </m:r>
                      </m:sub>
                    </m:sSub>
                  </m:num>
                  <m:den>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21</m:t>
                        </m:r>
                      </m:sub>
                    </m:sSub>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den>
                </m:f>
                <m:r>
                  <w:rPr>
                    <w:rFonts w:ascii="Cambria Math" w:hAnsi="Cambria Math" w:cs="Arial"/>
                    <w:sz w:val="22"/>
                    <w:szCs w:val="22"/>
                    <w:lang w:val="en-GB"/>
                  </w:rPr>
                  <m:t>-m</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oMath>
            </m:oMathPara>
          </w:p>
          <w:p w14:paraId="67607829" w14:textId="77777777" w:rsidR="001D3A81" w:rsidRDefault="001D3A81" w:rsidP="001D3A81">
            <w:pPr>
              <w:jc w:val="both"/>
              <w:rPr>
                <w:rFonts w:ascii="Arial" w:hAnsi="Arial" w:cs="Arial"/>
                <w:sz w:val="22"/>
                <w:szCs w:val="22"/>
                <w:lang w:val="en-GB"/>
              </w:rPr>
            </w:pPr>
          </w:p>
          <w:p w14:paraId="5B68F090" w14:textId="73A77210" w:rsidR="001D3A81" w:rsidRPr="001D3A81" w:rsidRDefault="00000000" w:rsidP="00852AD3">
            <w:pPr>
              <w:jc w:val="both"/>
              <w:rPr>
                <w:rFonts w:ascii="Arial" w:eastAsiaTheme="minorEastAsia"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dP</m:t>
                    </m:r>
                  </m:num>
                  <m:den>
                    <m:r>
                      <w:rPr>
                        <w:rFonts w:ascii="Cambria Math" w:hAnsi="Cambria Math" w:cs="Arial"/>
                        <w:sz w:val="22"/>
                        <w:szCs w:val="22"/>
                        <w:lang w:val="en-GB"/>
                      </w:rPr>
                      <m:t>dt</m:t>
                    </m:r>
                  </m:den>
                </m:f>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r</m:t>
                        </m:r>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r>
                                  <w:rPr>
                                    <w:rFonts w:ascii="Cambria Math" w:hAnsi="Cambria Math" w:cs="Arial"/>
                                    <w:sz w:val="22"/>
                                    <w:szCs w:val="22"/>
                                    <w:lang w:val="en-GB"/>
                                  </w:rPr>
                                  <m:t>v</m:t>
                                </m:r>
                              </m:num>
                              <m:den>
                                <m:sSub>
                                  <m:sSubPr>
                                    <m:ctrlPr>
                                      <w:rPr>
                                        <w:rFonts w:ascii="Cambria Math" w:hAnsi="Cambria Math" w:cs="Arial"/>
                                        <w:i/>
                                        <w:sz w:val="22"/>
                                        <w:szCs w:val="22"/>
                                        <w:lang w:val="en-GB"/>
                                      </w:rPr>
                                    </m:ctrlPr>
                                  </m:sSubPr>
                                  <m:e>
                                    <m:r>
                                      <w:rPr>
                                        <w:rFonts w:ascii="Cambria Math" w:hAnsi="Cambria Math" w:cs="Arial"/>
                                        <w:sz w:val="22"/>
                                        <w:szCs w:val="22"/>
                                        <w:lang w:val="en-GB"/>
                                      </w:rPr>
                                      <m:t>V</m:t>
                                    </m:r>
                                  </m:e>
                                  <m:sub>
                                    <m:r>
                                      <w:rPr>
                                        <w:rFonts w:ascii="Cambria Math" w:hAnsi="Cambria Math" w:cs="Arial"/>
                                        <w:sz w:val="22"/>
                                        <w:szCs w:val="22"/>
                                        <w:lang w:val="en-GB"/>
                                      </w:rPr>
                                      <m:t>0</m:t>
                                    </m:r>
                                  </m:sub>
                                </m:sSub>
                                <m:r>
                                  <w:rPr>
                                    <w:rFonts w:ascii="Cambria Math" w:hAnsi="Cambria Math" w:cs="Arial"/>
                                    <w:sz w:val="22"/>
                                    <w:szCs w:val="22"/>
                                    <w:lang w:val="en-GB"/>
                                  </w:rPr>
                                  <m:t>+v</m:t>
                                </m:r>
                              </m:den>
                            </m:f>
                          </m:e>
                        </m:d>
                        <m:r>
                          <w:rPr>
                            <w:rFonts w:ascii="Cambria Math" w:hAnsi="Cambria Math" w:cs="Arial"/>
                            <w:sz w:val="22"/>
                            <w:szCs w:val="22"/>
                            <w:lang w:val="en-GB"/>
                          </w:rPr>
                          <m:t>P</m:t>
                        </m:r>
                        <m:d>
                          <m:dPr>
                            <m:ctrlPr>
                              <w:rPr>
                                <w:rFonts w:ascii="Cambria Math" w:hAnsi="Cambria Math" w:cs="Arial"/>
                                <w:i/>
                                <w:sz w:val="22"/>
                                <w:szCs w:val="22"/>
                                <w:lang w:val="en-GB"/>
                              </w:rPr>
                            </m:ctrlPr>
                          </m:dPr>
                          <m:e>
                            <m:r>
                              <w:rPr>
                                <w:rFonts w:ascii="Cambria Math" w:hAnsi="Cambria Math" w:cs="Arial"/>
                                <w:sz w:val="22"/>
                                <w:szCs w:val="22"/>
                                <w:lang w:val="en-GB"/>
                              </w:rPr>
                              <m:t>1-</m:t>
                            </m:r>
                            <m:f>
                              <m:fPr>
                                <m:ctrlPr>
                                  <w:rPr>
                                    <w:rFonts w:ascii="Cambria Math" w:hAnsi="Cambria Math" w:cs="Arial"/>
                                    <w:i/>
                                    <w:sz w:val="22"/>
                                    <w:szCs w:val="22"/>
                                    <w:lang w:val="en-GB"/>
                                  </w:rPr>
                                </m:ctrlPr>
                              </m:fPr>
                              <m:num>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K</m:t>
                                    </m:r>
                                  </m:e>
                                  <m:sub>
                                    <m:r>
                                      <w:rPr>
                                        <w:rFonts w:ascii="Cambria Math" w:hAnsi="Cambria Math" w:cs="Arial"/>
                                        <w:sz w:val="22"/>
                                        <w:szCs w:val="22"/>
                                        <w:lang w:val="en-GB"/>
                                      </w:rPr>
                                      <m:t>p</m:t>
                                    </m:r>
                                  </m:sub>
                                </m:sSub>
                              </m:den>
                            </m:f>
                          </m:e>
                        </m:d>
                      </m:e>
                    </m:groupChr>
                    <m:ctrlPr>
                      <w:rPr>
                        <w:rFonts w:ascii="Cambria Math" w:hAnsi="Cambria Math" w:cs="Arial"/>
                        <w:iCs/>
                        <w:sz w:val="22"/>
                        <w:szCs w:val="22"/>
                        <w:lang w:val="en-GB"/>
                      </w:rPr>
                    </m:ctrlPr>
                  </m:e>
                  <m:lim>
                    <m:r>
                      <m:rPr>
                        <m:sty m:val="p"/>
                      </m:rPr>
                      <w:rPr>
                        <w:rFonts w:ascii="Cambria Math" w:hAnsi="Cambria Math" w:cs="Arial"/>
                        <w:sz w:val="22"/>
                        <w:szCs w:val="22"/>
                        <w:lang w:val="en-GB"/>
                      </w:rPr>
                      <m:t>Parasite growth</m:t>
                    </m: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aPT</m:t>
                        </m:r>
                        <m:sSub>
                          <m:sSubPr>
                            <m:ctrlPr>
                              <w:rPr>
                                <w:rFonts w:ascii="Cambria Math" w:hAnsi="Cambria Math" w:cs="Arial"/>
                                <w:i/>
                                <w:sz w:val="22"/>
                                <w:szCs w:val="22"/>
                                <w:lang w:val="en-GB"/>
                              </w:rPr>
                            </m:ctrlPr>
                          </m:sSubPr>
                          <m:e>
                            <m:r>
                              <m:rPr>
                                <m:sty m:val="p"/>
                              </m:rPr>
                              <w:rPr>
                                <w:rFonts w:ascii="Cambria Math" w:hAnsi="Cambria Math" w:cs="Arial"/>
                                <w:sz w:val="22"/>
                                <w:szCs w:val="22"/>
                                <w:lang w:val="en-GB"/>
                              </w:rPr>
                              <w:softHyphen/>
                            </m:r>
                          </m:e>
                          <m:sub>
                            <m:r>
                              <w:rPr>
                                <w:rFonts w:ascii="Cambria Math" w:hAnsi="Cambria Math" w:cs="Arial"/>
                                <w:sz w:val="22"/>
                                <w:szCs w:val="22"/>
                                <w:lang w:val="en-GB"/>
                              </w:rPr>
                              <m:t>2</m:t>
                            </m:r>
                          </m:sub>
                        </m:sSub>
                      </m:e>
                    </m:groupChr>
                  </m:e>
                  <m:lim>
                    <m:r>
                      <m:rPr>
                        <m:sty m:val="p"/>
                      </m:rPr>
                      <w:rPr>
                        <w:rFonts w:ascii="Cambria Math" w:hAnsi="Cambria Math" w:cs="Arial"/>
                        <w:sz w:val="22"/>
                        <w:szCs w:val="22"/>
                        <w:lang w:val="en-GB"/>
                      </w:rPr>
                      <m:t>Parasite expulsion</m:t>
                    </m:r>
                  </m:lim>
                </m:limLow>
              </m:oMath>
            </m:oMathPara>
          </w:p>
        </w:tc>
        <w:tc>
          <w:tcPr>
            <w:tcW w:w="445" w:type="dxa"/>
          </w:tcPr>
          <w:p w14:paraId="63E1AC63" w14:textId="28809F0C" w:rsidR="001D3A81" w:rsidRDefault="001D3A81" w:rsidP="001D3A81">
            <w:pPr>
              <w:jc w:val="center"/>
              <w:rPr>
                <w:rFonts w:ascii="Arial" w:hAnsi="Arial" w:cs="Arial"/>
                <w:sz w:val="22"/>
                <w:szCs w:val="22"/>
                <w:lang w:val="en-GB"/>
              </w:rPr>
            </w:pPr>
            <w:r>
              <w:rPr>
                <w:rFonts w:ascii="Arial" w:hAnsi="Arial" w:cs="Arial"/>
                <w:sz w:val="22"/>
                <w:szCs w:val="22"/>
                <w:lang w:val="en-GB"/>
              </w:rPr>
              <w:t>(1)</w:t>
            </w:r>
          </w:p>
        </w:tc>
      </w:tr>
    </w:tbl>
    <w:p w14:paraId="0F5DCC96" w14:textId="77777777" w:rsidR="001D3A81" w:rsidRDefault="001D3A81" w:rsidP="00852AD3">
      <w:pPr>
        <w:jc w:val="both"/>
        <w:rPr>
          <w:rFonts w:ascii="Arial" w:hAnsi="Arial" w:cs="Arial"/>
          <w:sz w:val="22"/>
          <w:szCs w:val="22"/>
          <w:lang w:val="en-GB"/>
        </w:rPr>
      </w:pPr>
    </w:p>
    <w:p w14:paraId="3580AE67" w14:textId="77777777" w:rsidR="001D3A81" w:rsidRPr="005A14BE" w:rsidRDefault="001D3A81" w:rsidP="00852AD3">
      <w:pPr>
        <w:jc w:val="both"/>
        <w:rPr>
          <w:rFonts w:ascii="Arial" w:hAnsi="Arial" w:cs="Arial"/>
          <w:sz w:val="22"/>
          <w:szCs w:val="22"/>
          <w:lang w:val="en-GB"/>
        </w:rPr>
      </w:pPr>
    </w:p>
    <w:p w14:paraId="7E29778E" w14:textId="4622C172" w:rsidR="00852AD3" w:rsidRDefault="00B276C9">
      <w:pPr>
        <w:rPr>
          <w:rFonts w:eastAsiaTheme="minorEastAsia"/>
        </w:rPr>
      </w:pPr>
      <w:r>
        <w:t xml:space="preserve">Full details </w:t>
      </w:r>
      <w:r w:rsidR="00BF54E6">
        <w:t xml:space="preserve">and analysis </w:t>
      </w:r>
      <w:r>
        <w:t xml:space="preserve">of this model can be found in </w:t>
      </w:r>
      <w:proofErr w:type="spellStart"/>
      <w:r>
        <w:t>Cressler</w:t>
      </w:r>
      <w:proofErr w:type="spellEnd"/>
      <w:r>
        <w:t xml:space="preserve"> et al. 2024, but briefly, the model considers the interaction between subpopulations of helper T-cells (</w:t>
      </w:r>
      <w:r>
        <w:softHyphen/>
      </w:r>
      <m:oMath>
        <m:sSub>
          <m:sSubPr>
            <m:ctrlPr>
              <w:rPr>
                <w:rFonts w:ascii="Cambria Math" w:hAnsi="Cambria Math"/>
                <w:i/>
              </w:rPr>
            </m:ctrlPr>
          </m:sSubPr>
          <m:e>
            <m:r>
              <w:rPr>
                <w:rFonts w:ascii="Cambria Math" w:hAnsi="Cambria Math"/>
              </w:rPr>
              <m:t>T</m:t>
            </m:r>
          </m:e>
          <m:sub>
            <m:r>
              <w:rPr>
                <w:rFonts w:ascii="Cambria Math" w:hAnsi="Cambria Math"/>
              </w:rPr>
              <m:t>1</m:t>
            </m:r>
          </m:sub>
        </m:sSub>
      </m:oMath>
      <w:r>
        <w:rPr>
          <w:rFonts w:eastAsiaTheme="minorEastAsia"/>
        </w:rPr>
        <w:t xml:space="preserve"> and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Pr>
          <w:rFonts w:eastAsiaTheme="minorEastAsia"/>
        </w:rPr>
        <w:t>) and parasite biomass (</w:t>
      </w:r>
      <w:r>
        <w:rPr>
          <w:rFonts w:eastAsiaTheme="minorEastAsia"/>
          <w:i/>
          <w:iCs/>
        </w:rPr>
        <w:t>P</w:t>
      </w:r>
      <w:r>
        <w:rPr>
          <w:rFonts w:eastAsiaTheme="minorEastAsia"/>
        </w:rPr>
        <w:t>). The T-helper cell populations expand due to external activation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Pr>
          <w:rFonts w:eastAsiaTheme="minorEastAsia"/>
        </w:rPr>
        <w:t xml:space="preserve">), parasite-induced activation (controlled by parameters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oMath>
      <w:r>
        <w:rPr>
          <w:rFonts w:eastAsiaTheme="minorEastAsia"/>
        </w:rPr>
        <w:t xml:space="preserve">) and self-activation (controlled by parameters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Pr>
          <w:rFonts w:eastAsiaTheme="minorEastAsia"/>
        </w:rPr>
        <w:t xml:space="preserve">). Self-activation is cross-inhibited by T-helper cells of the other subpopulation (controlled by parameter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ij</m:t>
            </m:r>
          </m:sub>
        </m:sSub>
      </m:oMath>
      <w:r>
        <w:rPr>
          <w:rFonts w:eastAsiaTheme="minorEastAsia"/>
        </w:rPr>
        <w:t>). T</w:t>
      </w:r>
      <w:r w:rsidR="00AD0464">
        <w:rPr>
          <w:rFonts w:eastAsiaTheme="minorEastAsia"/>
        </w:rPr>
        <w:t xml:space="preserve">he self-activation and cross-inhibition functions phenomenologically capture the cytokine-dependent interactions that occur between Th1 and Th2 </w:t>
      </w:r>
      <w:r w:rsidR="00EF5462">
        <w:rPr>
          <w:rFonts w:eastAsiaTheme="minorEastAsia"/>
        </w:rPr>
        <w:t>cells</w:t>
      </w:r>
      <w:r w:rsidR="00AD0464">
        <w:rPr>
          <w:rFonts w:eastAsiaTheme="minorEastAsia"/>
        </w:rPr>
        <w:t xml:space="preserve"> (Yates et al. 2004, can den Ham and de Boer 2008, </w:t>
      </w:r>
      <w:proofErr w:type="spellStart"/>
      <w:r w:rsidR="00AD0464">
        <w:rPr>
          <w:rFonts w:eastAsiaTheme="minorEastAsia"/>
        </w:rPr>
        <w:t>Schrom</w:t>
      </w:r>
      <w:proofErr w:type="spellEnd"/>
      <w:r w:rsidR="00AD0464">
        <w:rPr>
          <w:rFonts w:eastAsiaTheme="minorEastAsia"/>
        </w:rPr>
        <w:t xml:space="preserve"> et al. 2020). Parasite biomass increases through density-dependent growth at a maximum rate </w:t>
      </w:r>
      <m:oMath>
        <m:r>
          <w:rPr>
            <w:rFonts w:ascii="Cambria Math" w:eastAsiaTheme="minorEastAsia" w:hAnsi="Cambria Math"/>
          </w:rPr>
          <m:t>r</m:t>
        </m:r>
      </m:oMath>
      <w:r w:rsidR="00AD0464">
        <w:rPr>
          <w:rFonts w:eastAsiaTheme="minorEastAsia"/>
        </w:rPr>
        <w:t xml:space="preserve">, scaled by the per-parasite virulence, </w:t>
      </w:r>
      <m:oMath>
        <m:r>
          <w:rPr>
            <w:rFonts w:ascii="Cambria Math" w:eastAsiaTheme="minorEastAsia" w:hAnsi="Cambria Math"/>
          </w:rPr>
          <m:t>v</m:t>
        </m:r>
      </m:oMath>
      <w:r w:rsidR="00AD0464">
        <w:rPr>
          <w:rFonts w:eastAsiaTheme="minorEastAsia"/>
        </w:rPr>
        <w:t xml:space="preserve">, and parasite biomass growth is inhibited due to the action of Th2 cells at a maximum per-T-cell rate of </w:t>
      </w:r>
      <m:oMath>
        <m:r>
          <w:rPr>
            <w:rFonts w:ascii="Cambria Math" w:eastAsiaTheme="minorEastAsia" w:hAnsi="Cambria Math"/>
          </w:rPr>
          <m:t>a</m:t>
        </m:r>
      </m:oMath>
      <w:r w:rsidR="00AD0464">
        <w:rPr>
          <w:rFonts w:eastAsiaTheme="minorEastAsia"/>
        </w:rPr>
        <w:t xml:space="preserve">. The positive feedback loops created by self-activation, cross-inhibition, and the parasite’s ability to induce both Th1 and Th2 responses make the dynamics of this system </w:t>
      </w:r>
      <w:proofErr w:type="spellStart"/>
      <w:r w:rsidR="00AD0464">
        <w:rPr>
          <w:rFonts w:eastAsiaTheme="minorEastAsia"/>
        </w:rPr>
        <w:t>multistable</w:t>
      </w:r>
      <w:proofErr w:type="spellEnd"/>
      <w:r w:rsidR="00AD0464">
        <w:rPr>
          <w:rFonts w:eastAsiaTheme="minorEastAsia"/>
        </w:rPr>
        <w:t>: the ultimate outcome of the interaction depends on both the parameters of the model and the initial starting conditions (</w:t>
      </w:r>
      <w:proofErr w:type="spellStart"/>
      <w:r w:rsidR="00AD0464">
        <w:rPr>
          <w:rFonts w:eastAsiaTheme="minorEastAsia"/>
        </w:rPr>
        <w:t>Cressler</w:t>
      </w:r>
      <w:proofErr w:type="spellEnd"/>
      <w:r w:rsidR="00AD0464">
        <w:rPr>
          <w:rFonts w:eastAsiaTheme="minorEastAsia"/>
        </w:rPr>
        <w:t xml:space="preserve"> et al. 2024). Table 1 gives the baseline parameters we use for this study. Note that these parameters are not derived for any </w:t>
      </w:r>
      <w:proofErr w:type="gramStart"/>
      <w:r w:rsidR="00AD0464">
        <w:rPr>
          <w:rFonts w:eastAsiaTheme="minorEastAsia"/>
        </w:rPr>
        <w:t>particular system</w:t>
      </w:r>
      <w:proofErr w:type="gramEnd"/>
      <w:r w:rsidR="00AD0464">
        <w:rPr>
          <w:rFonts w:eastAsiaTheme="minorEastAsia"/>
        </w:rPr>
        <w:t>, but rather were chosen because of the rich but biologically plausible outcomes they produce (see Fig. 1).</w:t>
      </w:r>
    </w:p>
    <w:p w14:paraId="19ABD725" w14:textId="77777777" w:rsidR="00EF5462" w:rsidRDefault="00EF5462">
      <w:pPr>
        <w:rPr>
          <w:rFonts w:eastAsiaTheme="minorEastAsia"/>
        </w:rPr>
      </w:pPr>
    </w:p>
    <w:p w14:paraId="17577F44" w14:textId="42698116" w:rsidR="00EF5462" w:rsidRDefault="00EF5462">
      <w:pPr>
        <w:rPr>
          <w:rFonts w:eastAsiaTheme="minorEastAsia"/>
        </w:rPr>
      </w:pPr>
      <w:r>
        <w:rPr>
          <w:rFonts w:eastAsiaTheme="minorEastAsia"/>
        </w:rPr>
        <w:t xml:space="preserve">The epidemiological model we consider </w:t>
      </w:r>
      <w:r w:rsidR="00BF54E6">
        <w:rPr>
          <w:rFonts w:eastAsiaTheme="minorEastAsia"/>
        </w:rPr>
        <w:t>is:</w:t>
      </w:r>
    </w:p>
    <w:tbl>
      <w:tblPr>
        <w:tblStyle w:val="TableGrid"/>
        <w:tblW w:w="0" w:type="auto"/>
        <w:tblLook w:val="04A0" w:firstRow="1" w:lastRow="0" w:firstColumn="1" w:lastColumn="0" w:noHBand="0" w:noVBand="1"/>
      </w:tblPr>
      <w:tblGrid>
        <w:gridCol w:w="8865"/>
        <w:gridCol w:w="485"/>
      </w:tblGrid>
      <w:tr w:rsidR="001D3A81" w14:paraId="1C080657" w14:textId="77777777" w:rsidTr="00C31BA9">
        <w:tc>
          <w:tcPr>
            <w:tcW w:w="8905" w:type="dxa"/>
          </w:tcPr>
          <w:p w14:paraId="2AA78A35" w14:textId="77777777" w:rsidR="001D3A81" w:rsidRPr="00BF54E6" w:rsidRDefault="00000000" w:rsidP="001D3A81">
            <w:pPr>
              <w:rPr>
                <w:rFonts w:eastAsiaTheme="minorEastAsia"/>
                <w:iCs/>
              </w:rPr>
            </w:pPr>
            <m:oMathPara>
              <m:oMath>
                <m:f>
                  <m:fPr>
                    <m:ctrlPr>
                      <w:rPr>
                        <w:rFonts w:ascii="Cambria Math" w:hAnsi="Cambria Math"/>
                        <w:i/>
                        <w:iCs/>
                      </w:rPr>
                    </m:ctrlPr>
                  </m:fPr>
                  <m:num>
                    <m:r>
                      <w:rPr>
                        <w:rFonts w:ascii="Cambria Math" w:hAnsi="Cambria Math"/>
                      </w:rPr>
                      <m:t>dS</m:t>
                    </m:r>
                  </m:num>
                  <m:den>
                    <m:r>
                      <w:rPr>
                        <w:rFonts w:ascii="Cambria Math" w:hAnsi="Cambria Math"/>
                      </w:rPr>
                      <m:t>dt</m:t>
                    </m:r>
                  </m:den>
                </m:f>
                <m:r>
                  <w:rPr>
                    <w:rFonts w:ascii="Cambria Math" w:hAnsi="Cambria Math"/>
                  </w:rPr>
                  <m:t>=b</m:t>
                </m:r>
                <m:d>
                  <m:dPr>
                    <m:ctrlPr>
                      <w:rPr>
                        <w:rFonts w:ascii="Cambria Math" w:hAnsi="Cambria Math"/>
                        <w:i/>
                        <w:iCs/>
                      </w:rPr>
                    </m:ctrlPr>
                  </m:dPr>
                  <m:e>
                    <m:r>
                      <w:rPr>
                        <w:rFonts w:ascii="Cambria Math" w:hAnsi="Cambria Math"/>
                      </w:rPr>
                      <m:t>S+I</m:t>
                    </m:r>
                  </m:e>
                </m:d>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S+I</m:t>
                        </m:r>
                      </m:num>
                      <m:den>
                        <m:r>
                          <w:rPr>
                            <w:rFonts w:ascii="Cambria Math" w:hAnsi="Cambria Math"/>
                          </w:rPr>
                          <m:t>K</m:t>
                        </m:r>
                      </m:den>
                    </m:f>
                  </m:e>
                </m:d>
                <m:r>
                  <w:rPr>
                    <w:rFonts w:ascii="Cambria Math" w:hAnsi="Cambria Math"/>
                  </w:rPr>
                  <m:t>-p</m:t>
                </m:r>
                <m:d>
                  <m:dPr>
                    <m:ctrlPr>
                      <w:rPr>
                        <w:rFonts w:ascii="Cambria Math" w:hAnsi="Cambria Math"/>
                        <w:i/>
                        <w:iCs/>
                      </w:rPr>
                    </m:ctrlPr>
                  </m:dPr>
                  <m:e>
                    <m:r>
                      <w:rPr>
                        <w:rFonts w:ascii="Cambria Math" w:hAnsi="Cambria Math"/>
                      </w:rPr>
                      <m:t>v,P</m:t>
                    </m:r>
                  </m:e>
                </m:d>
                <m:r>
                  <w:rPr>
                    <w:rFonts w:ascii="Cambria Math" w:hAnsi="Cambria Math"/>
                  </w:rPr>
                  <m:t>cSI</m:t>
                </m:r>
              </m:oMath>
            </m:oMathPara>
          </w:p>
          <w:p w14:paraId="4D013405" w14:textId="5600B187" w:rsidR="001D3A81" w:rsidRPr="001D3A81" w:rsidRDefault="00000000" w:rsidP="001D3A81">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dI</m:t>
                    </m:r>
                  </m:num>
                  <m:den>
                    <m:r>
                      <w:rPr>
                        <w:rFonts w:ascii="Cambria Math" w:eastAsiaTheme="minorEastAsia" w:hAnsi="Cambria Math"/>
                      </w:rPr>
                      <m:t>dt</m:t>
                    </m:r>
                  </m:den>
                </m:f>
                <m:r>
                  <w:rPr>
                    <w:rFonts w:ascii="Cambria Math" w:eastAsiaTheme="minorEastAsia" w:hAnsi="Cambria Math"/>
                  </w:rPr>
                  <m:t>=p</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cSI-μ</m:t>
                </m:r>
                <m:d>
                  <m:dPr>
                    <m:ctrlPr>
                      <w:rPr>
                        <w:rFonts w:ascii="Cambria Math" w:eastAsiaTheme="minorEastAsia" w:hAnsi="Cambria Math"/>
                        <w:i/>
                        <w:iCs/>
                      </w:rPr>
                    </m:ctrlPr>
                  </m:dPr>
                  <m:e>
                    <m:r>
                      <w:rPr>
                        <w:rFonts w:ascii="Cambria Math" w:eastAsiaTheme="minorEastAsia" w:hAnsi="Cambria Math"/>
                      </w:rPr>
                      <m:t>v,P</m:t>
                    </m:r>
                  </m:e>
                </m:d>
                <m:r>
                  <w:rPr>
                    <w:rFonts w:ascii="Cambria Math" w:eastAsiaTheme="minorEastAsia" w:hAnsi="Cambria Math"/>
                  </w:rPr>
                  <m:t>I-γ</m:t>
                </m:r>
                <m:d>
                  <m:dPr>
                    <m:ctrlPr>
                      <w:rPr>
                        <w:rFonts w:ascii="Cambria Math" w:eastAsiaTheme="minorEastAsia" w:hAnsi="Cambria Math"/>
                        <w:i/>
                        <w:iCs/>
                      </w:rPr>
                    </m:ctrlPr>
                  </m:dPr>
                  <m:e>
                    <m:r>
                      <w:rPr>
                        <w:rFonts w:ascii="Cambria Math" w:eastAsiaTheme="minorEastAsia" w:hAnsi="Cambria Math"/>
                      </w:rPr>
                      <m:t>v,P,</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2</m:t>
                        </m:r>
                      </m:sub>
                    </m:sSub>
                  </m:e>
                </m:d>
                <m:r>
                  <w:rPr>
                    <w:rFonts w:ascii="Cambria Math" w:eastAsiaTheme="minorEastAsia" w:hAnsi="Cambria Math"/>
                  </w:rPr>
                  <m:t>I</m:t>
                </m:r>
              </m:oMath>
            </m:oMathPara>
          </w:p>
        </w:tc>
        <w:tc>
          <w:tcPr>
            <w:tcW w:w="445" w:type="dxa"/>
          </w:tcPr>
          <w:p w14:paraId="423590FD" w14:textId="327F3AD4" w:rsidR="001D3A81" w:rsidRDefault="001D3A81" w:rsidP="00C31BA9">
            <w:pPr>
              <w:jc w:val="center"/>
              <w:rPr>
                <w:rFonts w:ascii="Arial" w:hAnsi="Arial" w:cs="Arial"/>
                <w:sz w:val="22"/>
                <w:szCs w:val="22"/>
                <w:lang w:val="en-GB"/>
              </w:rPr>
            </w:pPr>
            <w:r>
              <w:rPr>
                <w:rFonts w:ascii="Arial" w:hAnsi="Arial" w:cs="Arial"/>
                <w:sz w:val="22"/>
                <w:szCs w:val="22"/>
                <w:lang w:val="en-GB"/>
              </w:rPr>
              <w:lastRenderedPageBreak/>
              <w:t>(2)</w:t>
            </w:r>
          </w:p>
        </w:tc>
      </w:tr>
    </w:tbl>
    <w:p w14:paraId="30B966C6" w14:textId="77777777" w:rsidR="001D3A81" w:rsidRDefault="001D3A81">
      <w:pPr>
        <w:rPr>
          <w:rFonts w:eastAsiaTheme="minorEastAsia"/>
        </w:rPr>
      </w:pPr>
    </w:p>
    <w:p w14:paraId="32B5E250" w14:textId="77777777" w:rsidR="00BF54E6" w:rsidRDefault="00BF54E6">
      <w:pPr>
        <w:rPr>
          <w:rFonts w:eastAsiaTheme="minorEastAsia"/>
        </w:rPr>
      </w:pPr>
    </w:p>
    <w:p w14:paraId="73D4BCB1" w14:textId="77777777" w:rsidR="00963DA9" w:rsidRDefault="00963DA9">
      <w:pPr>
        <w:rPr>
          <w:rFonts w:eastAsiaTheme="minorEastAsia"/>
          <w:iCs/>
        </w:rPr>
      </w:pPr>
    </w:p>
    <w:p w14:paraId="32AB88D1" w14:textId="50374812" w:rsidR="00316051" w:rsidRPr="00316051" w:rsidRDefault="00316051">
      <w:pPr>
        <w:rPr>
          <w:rFonts w:eastAsiaTheme="minorEastAsia"/>
          <w:i/>
        </w:rPr>
      </w:pPr>
      <w:r>
        <w:rPr>
          <w:rFonts w:eastAsiaTheme="minorEastAsia"/>
          <w:iCs/>
        </w:rPr>
        <w:t xml:space="preserve">We assume that the host population grows logistically in the absence of infection. Infected and susceptible hosts come into contact at a per-capita rate </w:t>
      </w:r>
      <m:oMath>
        <m:r>
          <w:rPr>
            <w:rFonts w:ascii="Cambria Math" w:eastAsiaTheme="minorEastAsia" w:hAnsi="Cambria Math"/>
          </w:rPr>
          <m:t>c</m:t>
        </m:r>
      </m:oMath>
      <w:r>
        <w:rPr>
          <w:rFonts w:eastAsiaTheme="minorEastAsia"/>
          <w:iCs/>
        </w:rPr>
        <w:t xml:space="preserve">, but whether a contact results in infection depends on the parasite burden in the infected host. </w:t>
      </w:r>
      <w:proofErr w:type="gramStart"/>
      <w:r w:rsidR="00301422">
        <w:rPr>
          <w:rFonts w:eastAsiaTheme="minorEastAsia"/>
          <w:iCs/>
        </w:rPr>
        <w:t>In particular, in</w:t>
      </w:r>
      <w:proofErr w:type="gramEnd"/>
      <w:r w:rsidR="00301422">
        <w:rPr>
          <w:rFonts w:eastAsiaTheme="minorEastAsia"/>
          <w:iCs/>
        </w:rPr>
        <w:t xml:space="preserve"> the IBM implementation of this model, </w:t>
      </w:r>
      <w:r w:rsidR="000C0FAF">
        <w:rPr>
          <w:rFonts w:eastAsiaTheme="minorEastAsia"/>
          <w:iCs/>
        </w:rPr>
        <w:t xml:space="preserve">the infectious dose is drawn from a Poisson distribution with mean and variance set to one-tenth of the infected host’s parasite burden at the time of infection. If the drawn dose is equal to zero, then transmission fails. The infection-induced mortality rate experienced by infected individual </w:t>
      </w:r>
      <m:oMath>
        <m:r>
          <w:rPr>
            <w:rFonts w:ascii="Cambria Math" w:eastAsiaTheme="minorEastAsia" w:hAnsi="Cambria Math"/>
          </w:rPr>
          <m:t>i</m:t>
        </m:r>
      </m:oMath>
      <w:r w:rsidR="000C0FAF">
        <w:rPr>
          <w:rFonts w:eastAsiaTheme="minorEastAsia"/>
          <w:iCs/>
        </w:rPr>
        <w:t xml:space="preserve"> is equal to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oMath>
      <w:r w:rsidR="000C0FAF">
        <w:rPr>
          <w:rFonts w:eastAsiaTheme="minorEastAsia"/>
          <w:iCs/>
        </w:rPr>
        <w:t xml:space="preserve">, where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oMath>
      <w:r w:rsidR="000C0FAF">
        <w:rPr>
          <w:rFonts w:eastAsiaTheme="minorEastAsia"/>
          <w:iCs/>
        </w:rPr>
        <w:t xml:space="preserve"> is the per-parasite virulence of that individual’s infection and </w:t>
      </w:r>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oMath>
      <w:r w:rsidR="000C0FAF">
        <w:rPr>
          <w:rFonts w:eastAsiaTheme="minorEastAsia"/>
          <w:iCs/>
        </w:rPr>
        <w:t xml:space="preserve"> is its burden at time </w:t>
      </w:r>
      <m:oMath>
        <m:r>
          <w:rPr>
            <w:rFonts w:ascii="Cambria Math" w:eastAsiaTheme="minorEastAsia" w:hAnsi="Cambria Math"/>
          </w:rPr>
          <m:t>t</m:t>
        </m:r>
      </m:oMath>
      <w:r w:rsidR="000C0FAF">
        <w:rPr>
          <w:rFonts w:eastAsiaTheme="minorEastAsia"/>
          <w:iCs/>
        </w:rPr>
        <w:t xml:space="preserve">. Finally, the parasite recovers from infection if parasite burden ever drops to zero, which depends on the within-host interaction between parasite growth and the immune response.  </w:t>
      </w:r>
    </w:p>
    <w:p w14:paraId="3E814986" w14:textId="77777777" w:rsidR="00852AD3" w:rsidRDefault="00852AD3"/>
    <w:p w14:paraId="1D567A28" w14:textId="7CFF48CC" w:rsidR="001D3A81" w:rsidRDefault="002F7A04" w:rsidP="001D3A81">
      <w:r>
        <w:t xml:space="preserve">As shown in </w:t>
      </w:r>
      <w:proofErr w:type="spellStart"/>
      <w:r>
        <w:t>Cressler</w:t>
      </w:r>
      <w:proofErr w:type="spellEnd"/>
      <w:r>
        <w:t xml:space="preserve"> et al. (2024) and in Fig. 1, the outcome of this within-host interaction depends critically on both the initial parasite dose (resulting from the infection process described above) and the initial immune state. Rather than fixing the initial immune state of every individual upon infection, we assume that it varies stochastically, reflecting that every individual’s immune state upon infection would depend on its history of past exposures to parasitic, commensal, and mutualistic symbionts and thus would vary tremendously from one individual to another. In our simulations, we vary the range of variation in the initial number of Th2 cells and assume that the initial immune state is drawn from a uniform distribution with a specified minimum and maximum</w:t>
      </w:r>
      <w:r w:rsidR="001D3A81">
        <w:t xml:space="preserve">. </w:t>
      </w:r>
      <w:proofErr w:type="gramStart"/>
      <w:r w:rsidR="003B2BD2">
        <w:t>In particular, we</w:t>
      </w:r>
      <w:proofErr w:type="gramEnd"/>
      <w:r w:rsidR="003B2BD2">
        <w:t xml:space="preserve"> hold the maximum fixed at 800 and vary the minimum. </w:t>
      </w:r>
      <w:r w:rsidR="001D3A81">
        <w:t>The total immune cell population is fixed at 1200, so the random draw determines both the initial Th1 and Th2 cell numbers.</w:t>
      </w:r>
      <w:r w:rsidR="003B2BD2">
        <w:t xml:space="preserve"> </w:t>
      </w:r>
    </w:p>
    <w:p w14:paraId="2A36FDB8" w14:textId="77777777" w:rsidR="001D3A81" w:rsidRDefault="001D3A81" w:rsidP="001D3A81"/>
    <w:p w14:paraId="780AF7CF" w14:textId="14A0D241" w:rsidR="001D3A81" w:rsidRPr="001D3A81" w:rsidRDefault="001D3A81" w:rsidP="001D3A81">
      <w:pPr>
        <w:rPr>
          <w:vertAlign w:val="superscript"/>
        </w:rPr>
      </w:pPr>
      <w:r>
        <w:t xml:space="preserve">We start each simulation with a small population of infected individuals, each with a per-parasite virulence of </w:t>
      </w:r>
      <m:oMath>
        <m:r>
          <w:rPr>
            <w:rFonts w:ascii="Cambria Math" w:hAnsi="Cambria Math"/>
          </w:rPr>
          <m:t>v=0.0001</m:t>
        </m:r>
      </m:oMath>
      <w:r>
        <w:rPr>
          <w:rFonts w:eastAsiaTheme="minorEastAsia"/>
        </w:rPr>
        <w:t xml:space="preserve">. When an infected host contacts a susceptible host, the virulence of the new infection is drawn from a lognormal distribution with mean equal to the virulence of the infecting host and a standard deviation equal to half the mean. With this model of inheritance, virulence evolution </w:t>
      </w:r>
      <w:r>
        <w:t>emerges out of the stochastic processes of infection, death, and recovery (</w:t>
      </w:r>
      <w:proofErr w:type="spellStart"/>
      <w:r>
        <w:t>Doebeli</w:t>
      </w:r>
      <w:proofErr w:type="spellEnd"/>
      <w:r>
        <w:t xml:space="preserve"> et al. 2017).</w:t>
      </w:r>
    </w:p>
    <w:p w14:paraId="4AF249DC" w14:textId="77777777" w:rsidR="001D3A81" w:rsidRDefault="001D3A81" w:rsidP="001D3A81"/>
    <w:p w14:paraId="7876772E" w14:textId="1EF0403F" w:rsidR="001D3A81" w:rsidRPr="001D3A81" w:rsidRDefault="001D3A81" w:rsidP="001D3A81">
      <w:pPr>
        <w:rPr>
          <w:b/>
          <w:bCs/>
        </w:rPr>
      </w:pPr>
      <w:r>
        <w:rPr>
          <w:b/>
          <w:bCs/>
        </w:rPr>
        <w:t>Results</w:t>
      </w:r>
    </w:p>
    <w:p w14:paraId="15945D16" w14:textId="77777777" w:rsidR="001D3A81" w:rsidRDefault="001D3A81" w:rsidP="001D3A81"/>
    <w:p w14:paraId="0C4F811E" w14:textId="3BE76696" w:rsidR="00370468" w:rsidRDefault="001D3A81">
      <w:pPr>
        <w:rPr>
          <w:rFonts w:eastAsiaTheme="minorEastAsia"/>
        </w:rPr>
      </w:pPr>
      <w:r>
        <w:t>F</w:t>
      </w:r>
      <w:r w:rsidR="006D05AF">
        <w:t xml:space="preserve">igure 1 shows how </w:t>
      </w:r>
      <w:r>
        <w:t>variation in the initial number of Th2 cells (from 200-800) and variation in the initial parasite dose (from 1 to 40)</w:t>
      </w:r>
      <w:r w:rsidR="006D05AF">
        <w:t xml:space="preserve"> interact to shape the </w:t>
      </w:r>
      <w:r>
        <w:t>outcome</w:t>
      </w:r>
      <w:r w:rsidR="006D05AF">
        <w:t xml:space="preserve"> of infection</w:t>
      </w:r>
      <w:r w:rsidR="003B2BD2">
        <w:t xml:space="preserve"> at the within-host level</w:t>
      </w:r>
      <w:r w:rsidR="006D05AF">
        <w:t>.</w:t>
      </w:r>
      <w:r w:rsidR="00885F91">
        <w:t xml:space="preserve"> The per-parasite virulence, </w:t>
      </w:r>
      <w:r w:rsidR="00885F91">
        <w:rPr>
          <w:i/>
          <w:iCs/>
        </w:rPr>
        <w:t>v</w:t>
      </w:r>
      <w:r w:rsidR="00885F91">
        <w:t xml:space="preserve">, is held constant at its </w:t>
      </w:r>
      <w:r w:rsidR="00852AD3">
        <w:t xml:space="preserve">initial value, </w:t>
      </w:r>
      <m:oMath>
        <m:r>
          <w:rPr>
            <w:rFonts w:ascii="Cambria Math" w:hAnsi="Cambria Math"/>
          </w:rPr>
          <m:t>v=0.0001</m:t>
        </m:r>
      </m:oMath>
      <w:r w:rsidR="00852AD3">
        <w:rPr>
          <w:rFonts w:eastAsiaTheme="minorEastAsia"/>
        </w:rPr>
        <w:t>.</w:t>
      </w:r>
      <w:r>
        <w:rPr>
          <w:rFonts w:eastAsiaTheme="minorEastAsia"/>
        </w:rPr>
        <w:t xml:space="preserve"> Fig. 1A shows the results of deterministic simulations of the within-host model (Eq. 1); Fig. 1B shows the results of stochastic simulations of the model using a Gillespie </w:t>
      </w:r>
      <w:r>
        <w:rPr>
          <w:rFonts w:eastAsiaTheme="minorEastAsia"/>
        </w:rPr>
        <w:lastRenderedPageBreak/>
        <w:t>algorithm. For each set of initial conditions, we simulated the stochastic model 100 times and then report the probability of an acute infection. The deterministic model predicts that there are three possible equilibria, depending on the initial number of Th2 cells and the initial parasite dose: a high Th1, low Th2, high parasite equilibrium corresponding to a chronic infection (red); a high Th1, high Th2, low parasite (but non-zero) equilibrium (gray); and a low Th1, high Th2, zero parasite equilibrium corresponding to clearance (black). Stochasticity eliminates the high Th1, high Th2 equilibrium; instead, we see a probabilistic outcome where the probability of clearance varies between 0 and 1 for Th2 between 400-600.</w:t>
      </w:r>
    </w:p>
    <w:p w14:paraId="5C710C74" w14:textId="77777777" w:rsidR="001D3A81" w:rsidRDefault="001D3A81">
      <w:pPr>
        <w:rPr>
          <w:rFonts w:eastAsiaTheme="minorEastAsia"/>
        </w:rPr>
      </w:pPr>
    </w:p>
    <w:p w14:paraId="3C2E4FB7" w14:textId="61F21427" w:rsidR="00DE7E8B" w:rsidRDefault="003B2BD2">
      <w:r>
        <w:t>With this intuition developed, we can consider the epidemiological and evolutionary dynamics that result from different immunological landscapes, specified by varying the minimum Th2 of each infection. Fig. 2 shows the epidemiological results</w:t>
      </w:r>
      <w:r w:rsidR="00DE7E8B">
        <w:t xml:space="preserve">, highlighting some particularly interesting. In general, we observe a decrease in prevalence as we increase the minimum number of Th2 cells upon infection (main panel), reflecting an increase in the probability of an acute infection with a higher initial Th2 (Fig. 1). The blue points and top left panel show the epidemiological dynamics when the immune system is very likely to be Th1-biased (minimum Th2=200). We observed no epidemic fadeouts and prevalence is nearly 100%. Conversely, the green points and bottom left panel show the epidemiological dynamics when the immune system is Th2-biased (minimum Th2=700). Epidemic fadeouts are </w:t>
      </w:r>
      <w:proofErr w:type="gramStart"/>
      <w:r w:rsidR="00DE7E8B">
        <w:t>common</w:t>
      </w:r>
      <w:proofErr w:type="gramEnd"/>
      <w:r w:rsidR="00DE7E8B">
        <w:t xml:space="preserve"> and prevalence reaches an approximate steady state around 25%. The orange points and middle left panel show the epidemiological dynamics when there is moderate Th2 bias (minimum Th2=575). Here we observe much more variability in the final prevalence across simulations and it is also clear that we have not yet reached a steady state; this is because the eco-evolutionary dynamics are still occurring (Fig. 3).</w:t>
      </w:r>
    </w:p>
    <w:p w14:paraId="079E0D54" w14:textId="77777777" w:rsidR="00DE7E8B" w:rsidRDefault="00DE7E8B"/>
    <w:p w14:paraId="28CFD83B" w14:textId="35D4E150" w:rsidR="00397EFC" w:rsidRDefault="00397EFC">
      <w:r>
        <w:t>Evolutionarily, we see that when the immune system is Th1-biased (minimum Th2=200; top left panel of Fig. 3), virulence evolves to be very low as chronic infections are very likely. Conversely, when the immune system is Th2-biased (minimum Th2=700; bottom left panel of Fig. 3), virulence evolves to be high as acute infections are very likely. When there is moderate Th2 bias (minimum Th2=575), the evolutionary outcomes are highly variable; overall, most simulations are evolving towards lower virulence, but many have maintained very high virulence throughout the entire simulation run, implying that virulence evolution is much less predictable. Overall, as the immune system becomes more Th2-biased and acute infections are less likely, parasite virulence evolves to be higher</w:t>
      </w:r>
      <w:r w:rsidR="00217B1D">
        <w:t xml:space="preserve"> (Fig. 3, main panel).</w:t>
      </w:r>
    </w:p>
    <w:p w14:paraId="05237D7C" w14:textId="77777777" w:rsidR="003E5B14" w:rsidRDefault="003E5B14"/>
    <w:p w14:paraId="1951537C" w14:textId="47E511A3" w:rsidR="003E5B14" w:rsidRDefault="004816D9">
      <w:r>
        <w:t>Figure 4 visualizes how evolution of virulence across different immune landscapes has modified parasite fitness components.</w:t>
      </w:r>
    </w:p>
    <w:p w14:paraId="6E5DAC0E" w14:textId="77777777" w:rsidR="00217B1D" w:rsidRDefault="00217B1D"/>
    <w:p w14:paraId="140323C4" w14:textId="61378694" w:rsidR="00DE7E8B" w:rsidRDefault="0080231D">
      <w:r>
        <w:t xml:space="preserve">Finally, to demonstrate that it is the acute versus chronic infection probability that is driving the evolutionary and epidemiological outcomes, we consider the evolution of virulence in a </w:t>
      </w:r>
      <w:proofErr w:type="spellStart"/>
      <w:r>
        <w:t>a</w:t>
      </w:r>
      <w:proofErr w:type="spellEnd"/>
      <w:r>
        <w:t xml:space="preserve"> greatly simplified system: </w:t>
      </w:r>
    </w:p>
    <w:p w14:paraId="469A303B" w14:textId="77777777" w:rsidR="0080231D" w:rsidRDefault="0080231D"/>
    <w:tbl>
      <w:tblPr>
        <w:tblStyle w:val="TableGrid"/>
        <w:tblW w:w="0" w:type="auto"/>
        <w:tblLook w:val="04A0" w:firstRow="1" w:lastRow="0" w:firstColumn="1" w:lastColumn="0" w:noHBand="0" w:noVBand="1"/>
      </w:tblPr>
      <w:tblGrid>
        <w:gridCol w:w="8865"/>
        <w:gridCol w:w="485"/>
      </w:tblGrid>
      <w:tr w:rsidR="0080231D" w14:paraId="3DDBCCF0" w14:textId="77777777" w:rsidTr="00C31BA9">
        <w:tc>
          <w:tcPr>
            <w:tcW w:w="8905" w:type="dxa"/>
          </w:tcPr>
          <w:p w14:paraId="0A132F01" w14:textId="30AAAE4A" w:rsidR="0080231D" w:rsidRPr="00BF54E6" w:rsidRDefault="00000000" w:rsidP="00C31BA9">
            <w:pPr>
              <w:rPr>
                <w:rFonts w:eastAsiaTheme="minorEastAsia"/>
                <w:iCs/>
              </w:rPr>
            </w:pPr>
            <m:oMathPara>
              <m:oMath>
                <m:f>
                  <m:fPr>
                    <m:ctrlPr>
                      <w:rPr>
                        <w:rFonts w:ascii="Cambria Math" w:hAnsi="Cambria Math"/>
                        <w:i/>
                        <w:iCs/>
                      </w:rPr>
                    </m:ctrlPr>
                  </m:fPr>
                  <m:num>
                    <m:r>
                      <w:rPr>
                        <w:rFonts w:ascii="Cambria Math" w:hAnsi="Cambria Math"/>
                      </w:rPr>
                      <m:t>dS</m:t>
                    </m:r>
                  </m:num>
                  <m:den>
                    <m:r>
                      <w:rPr>
                        <w:rFonts w:ascii="Cambria Math" w:hAnsi="Cambria Math"/>
                      </w:rPr>
                      <m:t>dt</m:t>
                    </m:r>
                  </m:den>
                </m:f>
                <m:r>
                  <w:rPr>
                    <w:rFonts w:ascii="Cambria Math" w:hAnsi="Cambria Math"/>
                  </w:rPr>
                  <m:t>=b</m:t>
                </m:r>
                <m:d>
                  <m:dPr>
                    <m:ctrlPr>
                      <w:rPr>
                        <w:rFonts w:ascii="Cambria Math" w:hAnsi="Cambria Math"/>
                        <w:i/>
                        <w:iCs/>
                      </w:rPr>
                    </m:ctrlPr>
                  </m:dPr>
                  <m:e>
                    <m:r>
                      <w:rPr>
                        <w:rFonts w:ascii="Cambria Math" w:hAnsi="Cambria Math"/>
                      </w:rPr>
                      <m:t>S+I</m:t>
                    </m:r>
                  </m:e>
                </m:d>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S+I</m:t>
                        </m:r>
                      </m:num>
                      <m:den>
                        <m:r>
                          <w:rPr>
                            <w:rFonts w:ascii="Cambria Math" w:hAnsi="Cambria Math"/>
                          </w:rPr>
                          <m:t>K</m:t>
                        </m:r>
                      </m:den>
                    </m:f>
                  </m:e>
                </m:d>
                <m:r>
                  <w:rPr>
                    <w:rFonts w:ascii="Cambria Math" w:hAnsi="Cambria Math"/>
                  </w:rPr>
                  <m:t>-β</m:t>
                </m:r>
                <m:d>
                  <m:dPr>
                    <m:ctrlPr>
                      <w:rPr>
                        <w:rFonts w:ascii="Cambria Math" w:hAnsi="Cambria Math"/>
                        <w:i/>
                        <w:iCs/>
                      </w:rPr>
                    </m:ctrlPr>
                  </m:dPr>
                  <m:e>
                    <m:r>
                      <w:rPr>
                        <w:rFonts w:ascii="Cambria Math" w:hAnsi="Cambria Math"/>
                      </w:rPr>
                      <m:t>v</m:t>
                    </m:r>
                  </m:e>
                </m:d>
                <m:r>
                  <w:rPr>
                    <w:rFonts w:ascii="Cambria Math" w:hAnsi="Cambria Math"/>
                  </w:rPr>
                  <m:t>S</m:t>
                </m:r>
                <m:d>
                  <m:dPr>
                    <m:ctrlPr>
                      <w:rPr>
                        <w:rFonts w:ascii="Cambria Math" w:hAnsi="Cambria Math"/>
                        <w:i/>
                        <w:iCs/>
                      </w:rPr>
                    </m:ctrlPr>
                  </m:dPr>
                  <m:e>
                    <m:sSub>
                      <m:sSubPr>
                        <m:ctrlPr>
                          <w:rPr>
                            <w:rFonts w:ascii="Cambria Math" w:hAnsi="Cambria Math"/>
                            <w:i/>
                            <w:iCs/>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c</m:t>
                        </m:r>
                      </m:sub>
                    </m:sSub>
                  </m:e>
                </m:d>
                <m:r>
                  <w:rPr>
                    <w:rFonts w:ascii="Cambria Math" w:hAnsi="Cambria Math"/>
                  </w:rPr>
                  <m:t>+γ</m:t>
                </m:r>
                <m:sSub>
                  <m:sSubPr>
                    <m:ctrlPr>
                      <w:rPr>
                        <w:rFonts w:ascii="Cambria Math" w:hAnsi="Cambria Math"/>
                        <w:i/>
                        <w:iCs/>
                      </w:rPr>
                    </m:ctrlPr>
                  </m:sSubPr>
                  <m:e>
                    <m:r>
                      <w:rPr>
                        <w:rFonts w:ascii="Cambria Math" w:hAnsi="Cambria Math"/>
                      </w:rPr>
                      <m:t>I</m:t>
                    </m:r>
                  </m:e>
                  <m:sub>
                    <m:r>
                      <w:rPr>
                        <w:rFonts w:ascii="Cambria Math" w:hAnsi="Cambria Math"/>
                      </w:rPr>
                      <m:t>a</m:t>
                    </m:r>
                  </m:sub>
                </m:sSub>
              </m:oMath>
            </m:oMathPara>
          </w:p>
          <w:p w14:paraId="7CF5699D" w14:textId="5A1AE043" w:rsidR="0080231D" w:rsidRPr="0080231D" w:rsidRDefault="00000000" w:rsidP="00C31BA9">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=p</m:t>
                </m:r>
                <m:r>
                  <w:rPr>
                    <w:rFonts w:ascii="Cambria Math" w:hAnsi="Cambria Math"/>
                  </w:rPr>
                  <m:t>β(v)S(</m:t>
                </m:r>
                <m:sSub>
                  <m:sSubPr>
                    <m:ctrlPr>
                      <w:rPr>
                        <w:rFonts w:ascii="Cambria Math" w:hAnsi="Cambria Math"/>
                        <w:i/>
                        <w:iCs/>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c</m:t>
                    </m:r>
                  </m:sub>
                </m:sSub>
                <m:r>
                  <w:rPr>
                    <w:rFonts w:ascii="Cambria Math" w:hAnsi="Cambria Math"/>
                  </w:rPr>
                  <m:t>)</m:t>
                </m:r>
                <m:r>
                  <w:rPr>
                    <w:rFonts w:ascii="Cambria Math" w:eastAsiaTheme="minorEastAsia" w:hAnsi="Cambria Math"/>
                  </w:rPr>
                  <m:t>-v</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-γ</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oMath>
            </m:oMathPara>
          </w:p>
          <w:p w14:paraId="1CFEF7A2" w14:textId="7B6D2178" w:rsidR="0080231D" w:rsidRPr="001D3A81" w:rsidRDefault="00000000" w:rsidP="00C31BA9">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num>
                  <m:den>
                    <m:r>
                      <w:rPr>
                        <w:rFonts w:ascii="Cambria Math" w:eastAsiaTheme="minorEastAsia" w:hAnsi="Cambria Math"/>
                      </w:rPr>
                      <m:t>dt</m:t>
                    </m:r>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β</m:t>
                </m:r>
                <m:d>
                  <m:dPr>
                    <m:ctrlPr>
                      <w:rPr>
                        <w:rFonts w:ascii="Cambria Math" w:eastAsiaTheme="minorEastAsia" w:hAnsi="Cambria Math"/>
                        <w:i/>
                        <w:iCs/>
                      </w:rPr>
                    </m:ctrlPr>
                  </m:dPr>
                  <m:e>
                    <m:r>
                      <w:rPr>
                        <w:rFonts w:ascii="Cambria Math" w:eastAsiaTheme="minorEastAsia" w:hAnsi="Cambria Math"/>
                      </w:rPr>
                      <m:t>v</m:t>
                    </m:r>
                  </m:e>
                </m:d>
                <m:r>
                  <w:rPr>
                    <w:rFonts w:ascii="Cambria Math" w:eastAsiaTheme="minorEastAsia" w:hAnsi="Cambria Math"/>
                  </w:rPr>
                  <m:t>S</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e>
                </m:d>
                <m:r>
                  <w:rPr>
                    <w:rFonts w:ascii="Cambria Math" w:eastAsiaTheme="minorEastAsia" w:hAnsi="Cambria Math"/>
                  </w:rPr>
                  <m:t>-v</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oMath>
            </m:oMathPara>
          </w:p>
        </w:tc>
        <w:tc>
          <w:tcPr>
            <w:tcW w:w="445" w:type="dxa"/>
          </w:tcPr>
          <w:p w14:paraId="7C6EB327" w14:textId="0FE71CAD" w:rsidR="0080231D" w:rsidRDefault="0080231D" w:rsidP="00C31BA9">
            <w:pPr>
              <w:jc w:val="center"/>
              <w:rPr>
                <w:rFonts w:ascii="Arial" w:hAnsi="Arial" w:cs="Arial"/>
                <w:sz w:val="22"/>
                <w:szCs w:val="22"/>
                <w:lang w:val="en-GB"/>
              </w:rPr>
            </w:pPr>
            <w:r>
              <w:rPr>
                <w:rFonts w:ascii="Arial" w:hAnsi="Arial" w:cs="Arial"/>
                <w:sz w:val="22"/>
                <w:szCs w:val="22"/>
                <w:lang w:val="en-GB"/>
              </w:rPr>
              <w:t>(3)</w:t>
            </w:r>
          </w:p>
        </w:tc>
      </w:tr>
    </w:tbl>
    <w:p w14:paraId="79E6107B" w14:textId="77777777" w:rsidR="0080231D" w:rsidRDefault="0080231D"/>
    <w:p w14:paraId="0FB528C0" w14:textId="25F24212" w:rsidR="0080231D" w:rsidRDefault="0080231D">
      <w:pPr>
        <w:rPr>
          <w:rFonts w:eastAsiaTheme="minorEastAsia"/>
        </w:rPr>
      </w:pPr>
      <w:r>
        <w:t>In this model, infected hosts are either acutely infected (</w:t>
      </w:r>
      <m:oMath>
        <m:sSub>
          <m:sSubPr>
            <m:ctrlPr>
              <w:rPr>
                <w:rFonts w:ascii="Cambria Math" w:hAnsi="Cambria Math"/>
                <w:i/>
              </w:rPr>
            </m:ctrlPr>
          </m:sSubPr>
          <m:e>
            <m:r>
              <w:rPr>
                <w:rFonts w:ascii="Cambria Math" w:hAnsi="Cambria Math"/>
              </w:rPr>
              <m:t>I</m:t>
            </m:r>
          </m:e>
          <m:sub>
            <m:r>
              <w:rPr>
                <w:rFonts w:ascii="Cambria Math" w:hAnsi="Cambria Math"/>
              </w:rPr>
              <m:t>a</m:t>
            </m:r>
          </m:sub>
        </m:sSub>
      </m:oMath>
      <w:r>
        <w:rPr>
          <w:rFonts w:eastAsiaTheme="minorEastAsia"/>
        </w:rPr>
        <w:t>) or chronically infected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oMath>
      <w:r>
        <w:rPr>
          <w:rFonts w:eastAsiaTheme="minorEastAsia"/>
        </w:rPr>
        <w:t>), with the probability of entering either infected class determined at infection (</w:t>
      </w:r>
      <m:oMath>
        <m:r>
          <w:rPr>
            <w:rFonts w:ascii="Cambria Math" w:eastAsiaTheme="minorEastAsia" w:hAnsi="Cambria Math"/>
          </w:rPr>
          <m:t>p</m:t>
        </m:r>
      </m:oMath>
      <w:r>
        <w:rPr>
          <w:rFonts w:eastAsiaTheme="minorEastAsia"/>
        </w:rPr>
        <w:t xml:space="preserve">), independent of the virulence of the parasite. Acutely infected hosts die from infection at a rate </w:t>
      </w:r>
      <m:oMath>
        <m:r>
          <w:rPr>
            <w:rFonts w:ascii="Cambria Math" w:eastAsiaTheme="minorEastAsia" w:hAnsi="Cambria Math"/>
          </w:rPr>
          <m:t>v</m:t>
        </m:r>
      </m:oMath>
      <w:r>
        <w:rPr>
          <w:rFonts w:eastAsiaTheme="minorEastAsia"/>
        </w:rPr>
        <w:t xml:space="preserve"> and recover at a rate </w:t>
      </w:r>
      <m:oMath>
        <m:r>
          <w:rPr>
            <w:rFonts w:ascii="Cambria Math" w:eastAsiaTheme="minorEastAsia" w:hAnsi="Cambria Math"/>
          </w:rPr>
          <m:t>γ</m:t>
        </m:r>
      </m:oMath>
      <w:r>
        <w:rPr>
          <w:rFonts w:eastAsiaTheme="minorEastAsia"/>
        </w:rPr>
        <w:t>. We assume a classic virulence—transmission trade-off, such that the transmission rate depends on virulence according to the function</w:t>
      </w:r>
    </w:p>
    <w:p w14:paraId="0812F17F" w14:textId="77777777" w:rsidR="0080231D" w:rsidRDefault="0080231D">
      <w:pPr>
        <w:rPr>
          <w:rFonts w:eastAsiaTheme="minorEastAsia"/>
        </w:rPr>
      </w:pPr>
      <m:oMathPara>
        <m:oMath>
          <m:r>
            <w:rPr>
              <w:rFonts w:ascii="Cambria Math" w:eastAsiaTheme="minorEastAsia" w:hAnsi="Cambria Math"/>
            </w:rPr>
            <m:t>β</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1+v</m:t>
              </m:r>
            </m:den>
          </m:f>
          <m:r>
            <w:rPr>
              <w:rFonts w:ascii="Cambria Math" w:eastAsiaTheme="minorEastAsia" w:hAnsi="Cambria Math"/>
            </w:rPr>
            <m:t>.</m:t>
          </m:r>
        </m:oMath>
      </m:oMathPara>
    </w:p>
    <w:p w14:paraId="2F1B9FDD" w14:textId="23301A17" w:rsidR="00CD1DA5" w:rsidRDefault="0080231D">
      <w:pPr>
        <w:rPr>
          <w:rFonts w:eastAsiaTheme="minorEastAsia"/>
        </w:rPr>
      </w:pPr>
      <w:r>
        <w:rPr>
          <w:rFonts w:eastAsiaTheme="minorEastAsia"/>
        </w:rPr>
        <w:t xml:space="preserve">Note that this is much simpler than our current system, where virulence influences transmission, recovery, and duration of infection. </w:t>
      </w:r>
    </w:p>
    <w:p w14:paraId="611C856D" w14:textId="77777777" w:rsidR="0080231D" w:rsidRDefault="0080231D">
      <w:pPr>
        <w:rPr>
          <w:rFonts w:eastAsiaTheme="minorEastAsia"/>
        </w:rPr>
      </w:pPr>
    </w:p>
    <w:p w14:paraId="5543B7F5" w14:textId="144C15E3" w:rsidR="0080231D" w:rsidRDefault="0080231D">
      <w:r>
        <w:rPr>
          <w:rFonts w:eastAsiaTheme="minorEastAsia"/>
        </w:rPr>
        <w:t xml:space="preserve">We use an adaptive dynamics analysis to study the evolution of virulence </w:t>
      </w:r>
      <m:oMath>
        <m:r>
          <w:rPr>
            <w:rFonts w:ascii="Cambria Math" w:eastAsiaTheme="minorEastAsia" w:hAnsi="Cambria Math"/>
          </w:rPr>
          <m:t>v</m:t>
        </m:r>
      </m:oMath>
      <w:r>
        <w:rPr>
          <w:rFonts w:eastAsiaTheme="minorEastAsia"/>
        </w:rPr>
        <w:t xml:space="preserve"> in this system (</w:t>
      </w:r>
      <w:proofErr w:type="spellStart"/>
      <w:r>
        <w:rPr>
          <w:rFonts w:eastAsiaTheme="minorEastAsia"/>
        </w:rPr>
        <w:t>Geritz</w:t>
      </w:r>
      <w:proofErr w:type="spellEnd"/>
      <w:r>
        <w:rPr>
          <w:rFonts w:eastAsiaTheme="minorEastAsia"/>
        </w:rPr>
        <w:t xml:space="preserve"> et al. 1997; see details in Supplementary Information).</w:t>
      </w:r>
    </w:p>
    <w:p w14:paraId="4C745127" w14:textId="77777777" w:rsidR="00CD1DA5" w:rsidRDefault="00CD1DA5"/>
    <w:p w14:paraId="10DC9971" w14:textId="77777777" w:rsidR="00CD1DA5" w:rsidRDefault="00CD1DA5"/>
    <w:p w14:paraId="1AEC354C" w14:textId="77777777" w:rsidR="00CD1DA5" w:rsidRDefault="00CD1DA5"/>
    <w:p w14:paraId="195DC3D2" w14:textId="77777777" w:rsidR="00CD1DA5" w:rsidRDefault="00CD1DA5"/>
    <w:p w14:paraId="2A1E6003" w14:textId="77777777" w:rsidR="00CD1DA5" w:rsidRDefault="00CD1DA5"/>
    <w:p w14:paraId="06D2BA77" w14:textId="77777777" w:rsidR="00CD1DA5" w:rsidRDefault="00CD1DA5"/>
    <w:p w14:paraId="31C2689A" w14:textId="77777777" w:rsidR="00CD1DA5" w:rsidRDefault="00CD1DA5"/>
    <w:p w14:paraId="78B5A106" w14:textId="77777777" w:rsidR="00CD1DA5" w:rsidRDefault="00CD1DA5"/>
    <w:p w14:paraId="78C52663" w14:textId="77777777" w:rsidR="00CD1DA5" w:rsidRDefault="00CD1DA5"/>
    <w:p w14:paraId="4C6E7E2A" w14:textId="30A8D3D9" w:rsidR="00CD1DA5" w:rsidRDefault="00CD1DA5">
      <w:r>
        <w:rPr>
          <w:noProof/>
        </w:rPr>
        <w:lastRenderedPageBreak/>
        <w:drawing>
          <wp:inline distT="0" distB="0" distL="0" distR="0" wp14:anchorId="57D40406" wp14:editId="0A2E1106">
            <wp:extent cx="5350665" cy="7491046"/>
            <wp:effectExtent l="0" t="0" r="0" b="2540"/>
            <wp:docPr id="153458332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83324" name="Picture 1" descr="A screenshot of a graph&#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56740" cy="7499552"/>
                    </a:xfrm>
                    <a:prstGeom prst="rect">
                      <a:avLst/>
                    </a:prstGeom>
                  </pic:spPr>
                </pic:pic>
              </a:graphicData>
            </a:graphic>
          </wp:inline>
        </w:drawing>
      </w:r>
    </w:p>
    <w:p w14:paraId="43CE9440" w14:textId="1B7AB7EA" w:rsidR="00DE7E8B" w:rsidRDefault="00DE7E8B">
      <w:r>
        <w:rPr>
          <w:noProof/>
        </w:rPr>
        <w:lastRenderedPageBreak/>
        <w:drawing>
          <wp:inline distT="0" distB="0" distL="0" distR="0" wp14:anchorId="4DEE5B82" wp14:editId="613989E2">
            <wp:extent cx="5943600" cy="4457700"/>
            <wp:effectExtent l="0" t="0" r="0" b="0"/>
            <wp:docPr id="923526258" name="Picture 2" descr="A graph of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26258" name="Picture 2" descr="A graph of different types of graphs&#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2917580" w14:textId="77777777" w:rsidR="00CD1DA5" w:rsidRDefault="00CD1DA5"/>
    <w:p w14:paraId="4A8DF440" w14:textId="77777777" w:rsidR="00CD1DA5" w:rsidRDefault="00CD1DA5"/>
    <w:p w14:paraId="2993109F" w14:textId="099BE05F" w:rsidR="00CD1DA5" w:rsidRDefault="00217B1D">
      <w:r>
        <w:rPr>
          <w:noProof/>
        </w:rPr>
        <w:lastRenderedPageBreak/>
        <w:drawing>
          <wp:inline distT="0" distB="0" distL="0" distR="0" wp14:anchorId="3BFB4E7E" wp14:editId="3449B193">
            <wp:extent cx="5943600" cy="4457700"/>
            <wp:effectExtent l="0" t="0" r="0" b="0"/>
            <wp:docPr id="935982076" name="Picture 3"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82076" name="Picture 3" descr="A group of graphs showing different types of data&#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FC5961F" w14:textId="77777777" w:rsidR="00CD1DA5" w:rsidRDefault="00CD1DA5"/>
    <w:p w14:paraId="195E6853" w14:textId="03217FED" w:rsidR="00370468" w:rsidRDefault="00370468">
      <w:r>
        <w:t>Table 1</w:t>
      </w:r>
      <w:r w:rsidR="00852AD3">
        <w:t>:</w:t>
      </w:r>
      <w:r>
        <w:t xml:space="preserve"> Model parameters</w:t>
      </w:r>
    </w:p>
    <w:tbl>
      <w:tblPr>
        <w:tblStyle w:val="TableGrid"/>
        <w:tblW w:w="0" w:type="auto"/>
        <w:tblLook w:val="04A0" w:firstRow="1" w:lastRow="0" w:firstColumn="1" w:lastColumn="0" w:noHBand="0" w:noVBand="1"/>
      </w:tblPr>
      <w:tblGrid>
        <w:gridCol w:w="3116"/>
        <w:gridCol w:w="3117"/>
        <w:gridCol w:w="3117"/>
      </w:tblGrid>
      <w:tr w:rsidR="00370468" w14:paraId="76718A35" w14:textId="77777777" w:rsidTr="00370468">
        <w:tc>
          <w:tcPr>
            <w:tcW w:w="3116" w:type="dxa"/>
          </w:tcPr>
          <w:p w14:paraId="09C6595C" w14:textId="5083FA8E" w:rsidR="00370468" w:rsidRDefault="00370468">
            <w:r>
              <w:t>Parameter</w:t>
            </w:r>
          </w:p>
        </w:tc>
        <w:tc>
          <w:tcPr>
            <w:tcW w:w="3117" w:type="dxa"/>
          </w:tcPr>
          <w:p w14:paraId="195ED0B4" w14:textId="62C666F6" w:rsidR="00370468" w:rsidRDefault="00370468">
            <w:r>
              <w:t>Parameter interpretation</w:t>
            </w:r>
          </w:p>
        </w:tc>
        <w:tc>
          <w:tcPr>
            <w:tcW w:w="3117" w:type="dxa"/>
          </w:tcPr>
          <w:p w14:paraId="6579384B" w14:textId="05D0715A" w:rsidR="00370468" w:rsidRDefault="00370468">
            <w:r>
              <w:t>Value</w:t>
            </w:r>
          </w:p>
        </w:tc>
      </w:tr>
      <w:tr w:rsidR="00370468" w14:paraId="53D5451B" w14:textId="77777777" w:rsidTr="00370468">
        <w:tc>
          <w:tcPr>
            <w:tcW w:w="3116" w:type="dxa"/>
          </w:tcPr>
          <w:p w14:paraId="7CD001D8" w14:textId="0F0D6DEE" w:rsidR="00370468" w:rsidRPr="00370468" w:rsidRDefault="00000000">
            <m:oMathPara>
              <m:oMath>
                <m:sSub>
                  <m:sSubPr>
                    <m:ctrlPr>
                      <w:rPr>
                        <w:rFonts w:ascii="Cambria Math" w:hAnsi="Cambria Math"/>
                        <w:i/>
                      </w:rPr>
                    </m:ctrlPr>
                  </m:sSubPr>
                  <m:e>
                    <m:r>
                      <w:rPr>
                        <w:rFonts w:ascii="Cambria Math" w:hAnsi="Cambria Math"/>
                      </w:rPr>
                      <m:t>b</m:t>
                    </m:r>
                  </m:e>
                  <m:sub>
                    <m:r>
                      <w:rPr>
                        <w:rFonts w:ascii="Cambria Math" w:hAnsi="Cambria Math"/>
                      </w:rPr>
                      <m:t>i</m:t>
                    </m:r>
                  </m:sub>
                </m:sSub>
              </m:oMath>
            </m:oMathPara>
          </w:p>
        </w:tc>
        <w:tc>
          <w:tcPr>
            <w:tcW w:w="3117" w:type="dxa"/>
          </w:tcPr>
          <w:p w14:paraId="52E3BF91" w14:textId="15A3480A" w:rsidR="00370468" w:rsidRPr="00370468" w:rsidRDefault="003E03E5">
            <w:r>
              <w:t>External</w:t>
            </w:r>
            <w:r w:rsidR="00370468">
              <w:t xml:space="preserve"> activation rate of Th-</w:t>
            </w:r>
            <m:oMath>
              <m:r>
                <w:rPr>
                  <w:rFonts w:ascii="Cambria Math" w:hAnsi="Cambria Math"/>
                </w:rPr>
                <m:t>i</m:t>
              </m:r>
            </m:oMath>
            <w:r w:rsidR="00370468">
              <w:rPr>
                <w:i/>
                <w:iCs/>
              </w:rPr>
              <w:t xml:space="preserve"> </w:t>
            </w:r>
            <w:r w:rsidR="00370468">
              <w:t>response</w:t>
            </w:r>
          </w:p>
        </w:tc>
        <w:tc>
          <w:tcPr>
            <w:tcW w:w="3117" w:type="dxa"/>
          </w:tcPr>
          <w:p w14:paraId="06390083" w14:textId="687CE8CC" w:rsidR="00370468" w:rsidRDefault="00000000">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=0.1</m:t>
                </m:r>
              </m:oMath>
            </m:oMathPara>
          </w:p>
        </w:tc>
      </w:tr>
      <w:tr w:rsidR="00370468" w14:paraId="258566FC" w14:textId="77777777" w:rsidTr="00370468">
        <w:tc>
          <w:tcPr>
            <w:tcW w:w="3116" w:type="dxa"/>
          </w:tcPr>
          <w:p w14:paraId="37C8FA65" w14:textId="2CE647C8" w:rsidR="00370468" w:rsidRDefault="00000000">
            <m:oMathPara>
              <m:oMath>
                <m:sSub>
                  <m:sSubPr>
                    <m:ctrlPr>
                      <w:rPr>
                        <w:rFonts w:ascii="Cambria Math" w:hAnsi="Cambria Math"/>
                        <w:i/>
                      </w:rPr>
                    </m:ctrlPr>
                  </m:sSubPr>
                  <m:e>
                    <m:r>
                      <w:rPr>
                        <w:rFonts w:ascii="Cambria Math" w:hAnsi="Cambria Math"/>
                      </w:rPr>
                      <m:t>c</m:t>
                    </m:r>
                  </m:e>
                  <m:sub>
                    <m:r>
                      <w:rPr>
                        <w:rFonts w:ascii="Cambria Math" w:hAnsi="Cambria Math"/>
                      </w:rPr>
                      <m:t>i</m:t>
                    </m:r>
                  </m:sub>
                </m:sSub>
              </m:oMath>
            </m:oMathPara>
          </w:p>
        </w:tc>
        <w:tc>
          <w:tcPr>
            <w:tcW w:w="3117" w:type="dxa"/>
          </w:tcPr>
          <w:p w14:paraId="343AC983" w14:textId="3CE6F972" w:rsidR="00370468" w:rsidRDefault="00370468">
            <w:r>
              <w:t>Maximum parasite biomass-induced activation rate of Th-</w:t>
            </w:r>
            <m:oMath>
              <m:r>
                <w:rPr>
                  <w:rFonts w:ascii="Cambria Math" w:hAnsi="Cambria Math"/>
                </w:rPr>
                <m:t>i</m:t>
              </m:r>
            </m:oMath>
            <w:r>
              <w:rPr>
                <w:i/>
                <w:iCs/>
              </w:rPr>
              <w:t xml:space="preserve"> </w:t>
            </w:r>
            <w:r>
              <w:t>response</w:t>
            </w:r>
          </w:p>
        </w:tc>
        <w:tc>
          <w:tcPr>
            <w:tcW w:w="3117" w:type="dxa"/>
          </w:tcPr>
          <w:p w14:paraId="6663688B" w14:textId="77777777" w:rsidR="00370468" w:rsidRPr="00370468" w:rsidRDefault="00000000">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=50, </m:t>
                </m:r>
              </m:oMath>
            </m:oMathPara>
          </w:p>
          <w:p w14:paraId="4E5171BE" w14:textId="3F7AD5A8" w:rsidR="00370468" w:rsidRDefault="00000000">
            <m:oMathPara>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=130</m:t>
                </m:r>
              </m:oMath>
            </m:oMathPara>
          </w:p>
        </w:tc>
      </w:tr>
      <w:tr w:rsidR="00370468" w14:paraId="0399692F" w14:textId="77777777" w:rsidTr="00370468">
        <w:tc>
          <w:tcPr>
            <w:tcW w:w="3116" w:type="dxa"/>
          </w:tcPr>
          <w:p w14:paraId="09CC86AD" w14:textId="7F56AD14" w:rsidR="00370468" w:rsidRDefault="00000000">
            <m:oMathPara>
              <m:oMath>
                <m:sSub>
                  <m:sSubPr>
                    <m:ctrlPr>
                      <w:rPr>
                        <w:rFonts w:ascii="Cambria Math" w:hAnsi="Cambria Math"/>
                        <w:i/>
                      </w:rPr>
                    </m:ctrlPr>
                  </m:sSubPr>
                  <m:e>
                    <m:r>
                      <w:rPr>
                        <w:rFonts w:ascii="Cambria Math" w:hAnsi="Cambria Math"/>
                      </w:rPr>
                      <m:t>C</m:t>
                    </m:r>
                  </m:e>
                  <m:sub>
                    <m:r>
                      <w:rPr>
                        <w:rFonts w:ascii="Cambria Math" w:hAnsi="Cambria Math"/>
                      </w:rPr>
                      <m:t>i</m:t>
                    </m:r>
                  </m:sub>
                </m:sSub>
              </m:oMath>
            </m:oMathPara>
          </w:p>
        </w:tc>
        <w:tc>
          <w:tcPr>
            <w:tcW w:w="3117" w:type="dxa"/>
          </w:tcPr>
          <w:p w14:paraId="06574603" w14:textId="44C9FD96" w:rsidR="00370468" w:rsidRDefault="00370468">
            <w:r>
              <w:t>Half-saturation constant of parasite biomass-induced activation function</w:t>
            </w:r>
          </w:p>
        </w:tc>
        <w:tc>
          <w:tcPr>
            <w:tcW w:w="3117" w:type="dxa"/>
          </w:tcPr>
          <w:p w14:paraId="5D25862E" w14:textId="5C30840E" w:rsidR="00370468" w:rsidRDefault="00000000">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=50</m:t>
                </m:r>
              </m:oMath>
            </m:oMathPara>
          </w:p>
        </w:tc>
      </w:tr>
      <w:tr w:rsidR="00370468" w14:paraId="311CCD35" w14:textId="77777777" w:rsidTr="00370468">
        <w:tc>
          <w:tcPr>
            <w:tcW w:w="3116" w:type="dxa"/>
          </w:tcPr>
          <w:p w14:paraId="2F64D4B7" w14:textId="5B76F155" w:rsidR="00370468" w:rsidRDefault="00000000">
            <m:oMathPara>
              <m:oMath>
                <m:sSub>
                  <m:sSubPr>
                    <m:ctrlPr>
                      <w:rPr>
                        <w:rFonts w:ascii="Cambria Math" w:hAnsi="Cambria Math"/>
                        <w:i/>
                      </w:rPr>
                    </m:ctrlPr>
                  </m:sSubPr>
                  <m:e>
                    <m:r>
                      <w:rPr>
                        <w:rFonts w:ascii="Cambria Math" w:hAnsi="Cambria Math"/>
                      </w:rPr>
                      <m:t>s</m:t>
                    </m:r>
                  </m:e>
                  <m:sub>
                    <m:r>
                      <w:rPr>
                        <w:rFonts w:ascii="Cambria Math" w:hAnsi="Cambria Math"/>
                      </w:rPr>
                      <m:t>i</m:t>
                    </m:r>
                  </m:sub>
                </m:sSub>
              </m:oMath>
            </m:oMathPara>
          </w:p>
        </w:tc>
        <w:tc>
          <w:tcPr>
            <w:tcW w:w="3117" w:type="dxa"/>
          </w:tcPr>
          <w:p w14:paraId="4A414380" w14:textId="554E258D" w:rsidR="00370468" w:rsidRDefault="00370468">
            <w:r>
              <w:t>Maximum self-activation rate of Th-</w:t>
            </w:r>
            <m:oMath>
              <m:r>
                <w:rPr>
                  <w:rFonts w:ascii="Cambria Math" w:hAnsi="Cambria Math"/>
                </w:rPr>
                <m:t>i</m:t>
              </m:r>
            </m:oMath>
            <w:r>
              <w:rPr>
                <w:i/>
                <w:iCs/>
              </w:rPr>
              <w:t xml:space="preserve"> </w:t>
            </w:r>
            <w:r>
              <w:t>response</w:t>
            </w:r>
          </w:p>
        </w:tc>
        <w:tc>
          <w:tcPr>
            <w:tcW w:w="3117" w:type="dxa"/>
          </w:tcPr>
          <w:p w14:paraId="44C7693B" w14:textId="260F97AD" w:rsidR="00370468" w:rsidRDefault="00000000">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=2000</m:t>
                </m:r>
              </m:oMath>
            </m:oMathPara>
          </w:p>
        </w:tc>
      </w:tr>
      <w:tr w:rsidR="00370468" w14:paraId="2CCF9C33" w14:textId="77777777" w:rsidTr="00370468">
        <w:tc>
          <w:tcPr>
            <w:tcW w:w="3116" w:type="dxa"/>
          </w:tcPr>
          <w:p w14:paraId="38F93CC0" w14:textId="444EB1A8" w:rsidR="00370468" w:rsidRDefault="00000000">
            <m:oMathPara>
              <m:oMath>
                <m:sSub>
                  <m:sSubPr>
                    <m:ctrlPr>
                      <w:rPr>
                        <w:rFonts w:ascii="Cambria Math" w:hAnsi="Cambria Math"/>
                        <w:i/>
                      </w:rPr>
                    </m:ctrlPr>
                  </m:sSubPr>
                  <m:e>
                    <m:r>
                      <w:rPr>
                        <w:rFonts w:ascii="Cambria Math" w:hAnsi="Cambria Math"/>
                      </w:rPr>
                      <m:t>S</m:t>
                    </m:r>
                  </m:e>
                  <m:sub>
                    <m:r>
                      <w:rPr>
                        <w:rFonts w:ascii="Cambria Math" w:hAnsi="Cambria Math"/>
                      </w:rPr>
                      <m:t>i</m:t>
                    </m:r>
                  </m:sub>
                </m:sSub>
              </m:oMath>
            </m:oMathPara>
          </w:p>
        </w:tc>
        <w:tc>
          <w:tcPr>
            <w:tcW w:w="3117" w:type="dxa"/>
          </w:tcPr>
          <w:p w14:paraId="4C9C6B10" w14:textId="1C720EF4" w:rsidR="00370468" w:rsidRDefault="00370468">
            <w:r>
              <w:t>Half-saturation constant of immune self-activation function</w:t>
            </w:r>
          </w:p>
        </w:tc>
        <w:tc>
          <w:tcPr>
            <w:tcW w:w="3117" w:type="dxa"/>
          </w:tcPr>
          <w:p w14:paraId="27C4326F" w14:textId="07999F9C" w:rsidR="00370468" w:rsidRDefault="00000000">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=1000</m:t>
                </m:r>
              </m:oMath>
            </m:oMathPara>
          </w:p>
        </w:tc>
      </w:tr>
      <w:tr w:rsidR="00370468" w14:paraId="1A65F8EA" w14:textId="77777777" w:rsidTr="00370468">
        <w:tc>
          <w:tcPr>
            <w:tcW w:w="3116" w:type="dxa"/>
          </w:tcPr>
          <w:p w14:paraId="33A81C22" w14:textId="35C7D5AA" w:rsidR="00370468" w:rsidRDefault="00000000">
            <m:oMathPara>
              <m:oMath>
                <m:sSub>
                  <m:sSubPr>
                    <m:ctrlPr>
                      <w:rPr>
                        <w:rFonts w:ascii="Cambria Math" w:hAnsi="Cambria Math"/>
                        <w:i/>
                      </w:rPr>
                    </m:ctrlPr>
                  </m:sSubPr>
                  <m:e>
                    <m:r>
                      <w:rPr>
                        <w:rFonts w:ascii="Cambria Math" w:hAnsi="Cambria Math"/>
                      </w:rPr>
                      <m:t>I</m:t>
                    </m:r>
                  </m:e>
                  <m:sub>
                    <m:r>
                      <w:rPr>
                        <w:rFonts w:ascii="Cambria Math" w:hAnsi="Cambria Math"/>
                      </w:rPr>
                      <m:t>ij</m:t>
                    </m:r>
                  </m:sub>
                </m:sSub>
              </m:oMath>
            </m:oMathPara>
          </w:p>
        </w:tc>
        <w:tc>
          <w:tcPr>
            <w:tcW w:w="3117" w:type="dxa"/>
          </w:tcPr>
          <w:p w14:paraId="534C0264" w14:textId="0DA2F421" w:rsidR="00370468" w:rsidRDefault="00370468">
            <w:r>
              <w:t>Half-saturation constant of immune cross-inhibition function</w:t>
            </w:r>
          </w:p>
        </w:tc>
        <w:tc>
          <w:tcPr>
            <w:tcW w:w="3117" w:type="dxa"/>
          </w:tcPr>
          <w:p w14:paraId="26049F74" w14:textId="006BD768" w:rsidR="00370468" w:rsidRDefault="00000000">
            <m:oMathPara>
              <m:oMath>
                <m:sSub>
                  <m:sSubPr>
                    <m:ctrlPr>
                      <w:rPr>
                        <w:rFonts w:ascii="Cambria Math" w:hAnsi="Cambria Math"/>
                        <w:i/>
                      </w:rPr>
                    </m:ctrlPr>
                  </m:sSubPr>
                  <m:e>
                    <m:r>
                      <w:rPr>
                        <w:rFonts w:ascii="Cambria Math" w:hAnsi="Cambria Math"/>
                      </w:rPr>
                      <m:t>I</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21</m:t>
                    </m:r>
                  </m:sub>
                </m:sSub>
                <m:r>
                  <w:rPr>
                    <w:rFonts w:ascii="Cambria Math" w:hAnsi="Cambria Math"/>
                  </w:rPr>
                  <m:t>=10,000</m:t>
                </m:r>
              </m:oMath>
            </m:oMathPara>
          </w:p>
        </w:tc>
      </w:tr>
      <w:tr w:rsidR="00370468" w14:paraId="032C51BB" w14:textId="77777777" w:rsidTr="00370468">
        <w:tc>
          <w:tcPr>
            <w:tcW w:w="3116" w:type="dxa"/>
          </w:tcPr>
          <w:p w14:paraId="550ADF54" w14:textId="010D5B80" w:rsidR="00370468" w:rsidRDefault="003E03E5">
            <m:oMathPara>
              <m:oMath>
                <m:r>
                  <w:rPr>
                    <w:rFonts w:ascii="Cambria Math" w:hAnsi="Cambria Math"/>
                  </w:rPr>
                  <w:lastRenderedPageBreak/>
                  <m:t>m</m:t>
                </m:r>
              </m:oMath>
            </m:oMathPara>
          </w:p>
        </w:tc>
        <w:tc>
          <w:tcPr>
            <w:tcW w:w="3117" w:type="dxa"/>
          </w:tcPr>
          <w:p w14:paraId="1D268DCF" w14:textId="387574D0" w:rsidR="00370468" w:rsidRDefault="003E03E5">
            <w:r>
              <w:t>Immune cell apoptosis rate</w:t>
            </w:r>
          </w:p>
        </w:tc>
        <w:tc>
          <w:tcPr>
            <w:tcW w:w="3117" w:type="dxa"/>
          </w:tcPr>
          <w:p w14:paraId="6B1AEE13" w14:textId="56168191" w:rsidR="00370468" w:rsidRDefault="003E03E5">
            <m:oMathPara>
              <m:oMath>
                <m:r>
                  <w:rPr>
                    <w:rFonts w:ascii="Cambria Math" w:hAnsi="Cambria Math"/>
                  </w:rPr>
                  <m:t>m=0.9</m:t>
                </m:r>
              </m:oMath>
            </m:oMathPara>
          </w:p>
        </w:tc>
      </w:tr>
      <w:tr w:rsidR="00370468" w14:paraId="763D4B5B" w14:textId="77777777" w:rsidTr="00370468">
        <w:tc>
          <w:tcPr>
            <w:tcW w:w="3116" w:type="dxa"/>
          </w:tcPr>
          <w:p w14:paraId="56482C1A" w14:textId="5C0D4FA9" w:rsidR="00370468" w:rsidRDefault="00B276C9">
            <m:oMathPara>
              <m:oMath>
                <m:r>
                  <w:rPr>
                    <w:rFonts w:ascii="Cambria Math" w:hAnsi="Cambria Math"/>
                  </w:rPr>
                  <m:t>r</m:t>
                </m:r>
              </m:oMath>
            </m:oMathPara>
          </w:p>
        </w:tc>
        <w:tc>
          <w:tcPr>
            <w:tcW w:w="3117" w:type="dxa"/>
          </w:tcPr>
          <w:p w14:paraId="29D0D1FE" w14:textId="7A5DD141" w:rsidR="00370468" w:rsidRDefault="003E03E5">
            <w:r>
              <w:t>Maximum parasite biomass growth rate</w:t>
            </w:r>
          </w:p>
        </w:tc>
        <w:tc>
          <w:tcPr>
            <w:tcW w:w="3117" w:type="dxa"/>
          </w:tcPr>
          <w:p w14:paraId="4B14C102" w14:textId="30258FEA" w:rsidR="00370468" w:rsidRDefault="00B276C9">
            <m:oMathPara>
              <m:oMath>
                <m:r>
                  <w:rPr>
                    <w:rFonts w:ascii="Cambria Math" w:hAnsi="Cambria Math"/>
                  </w:rPr>
                  <m:t>r=8</m:t>
                </m:r>
              </m:oMath>
            </m:oMathPara>
          </w:p>
        </w:tc>
      </w:tr>
      <w:tr w:rsidR="00370468" w14:paraId="2F0C2163" w14:textId="77777777" w:rsidTr="00370468">
        <w:tc>
          <w:tcPr>
            <w:tcW w:w="3116" w:type="dxa"/>
          </w:tcPr>
          <w:p w14:paraId="2880D5E6" w14:textId="3530A244" w:rsidR="00370468" w:rsidRDefault="00000000">
            <m:oMathPara>
              <m:oMath>
                <m:sSub>
                  <m:sSubPr>
                    <m:ctrlPr>
                      <w:rPr>
                        <w:rFonts w:ascii="Cambria Math" w:hAnsi="Cambria Math"/>
                        <w:i/>
                      </w:rPr>
                    </m:ctrlPr>
                  </m:sSubPr>
                  <m:e>
                    <m:r>
                      <w:rPr>
                        <w:rFonts w:ascii="Cambria Math" w:hAnsi="Cambria Math"/>
                      </w:rPr>
                      <m:t>V</m:t>
                    </m:r>
                  </m:e>
                  <m:sub>
                    <m:r>
                      <w:rPr>
                        <w:rFonts w:ascii="Cambria Math" w:hAnsi="Cambria Math"/>
                      </w:rPr>
                      <m:t>0</m:t>
                    </m:r>
                  </m:sub>
                </m:sSub>
              </m:oMath>
            </m:oMathPara>
          </w:p>
        </w:tc>
        <w:tc>
          <w:tcPr>
            <w:tcW w:w="3117" w:type="dxa"/>
          </w:tcPr>
          <w:p w14:paraId="719AAB7F" w14:textId="588C7B8C" w:rsidR="00370468" w:rsidRDefault="003E03E5">
            <w:r>
              <w:t>Half-saturation constant for the virulence—growth function</w:t>
            </w:r>
          </w:p>
        </w:tc>
        <w:tc>
          <w:tcPr>
            <w:tcW w:w="3117" w:type="dxa"/>
          </w:tcPr>
          <w:p w14:paraId="55B22A43" w14:textId="5F4EC087" w:rsidR="00370468" w:rsidRDefault="00000000">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=0.0001</m:t>
                </m:r>
              </m:oMath>
            </m:oMathPara>
          </w:p>
        </w:tc>
      </w:tr>
      <w:tr w:rsidR="00370468" w14:paraId="71290481" w14:textId="77777777" w:rsidTr="00370468">
        <w:tc>
          <w:tcPr>
            <w:tcW w:w="3116" w:type="dxa"/>
          </w:tcPr>
          <w:p w14:paraId="7F698CA8" w14:textId="47A0487D" w:rsidR="00370468" w:rsidRDefault="00000000">
            <m:oMathPara>
              <m:oMath>
                <m:sSub>
                  <m:sSubPr>
                    <m:ctrlPr>
                      <w:rPr>
                        <w:rFonts w:ascii="Cambria Math" w:hAnsi="Cambria Math"/>
                        <w:i/>
                      </w:rPr>
                    </m:ctrlPr>
                  </m:sSubPr>
                  <m:e>
                    <m:r>
                      <w:rPr>
                        <w:rFonts w:ascii="Cambria Math" w:hAnsi="Cambria Math"/>
                      </w:rPr>
                      <m:t>K</m:t>
                    </m:r>
                  </m:e>
                  <m:sub>
                    <m:r>
                      <w:rPr>
                        <w:rFonts w:ascii="Cambria Math" w:hAnsi="Cambria Math"/>
                      </w:rPr>
                      <m:t>P</m:t>
                    </m:r>
                  </m:sub>
                </m:sSub>
              </m:oMath>
            </m:oMathPara>
          </w:p>
        </w:tc>
        <w:tc>
          <w:tcPr>
            <w:tcW w:w="3117" w:type="dxa"/>
          </w:tcPr>
          <w:p w14:paraId="0F4603FE" w14:textId="79D881F8" w:rsidR="00370468" w:rsidRDefault="003E03E5">
            <w:r>
              <w:t>Maximum parasite biomass</w:t>
            </w:r>
          </w:p>
        </w:tc>
        <w:tc>
          <w:tcPr>
            <w:tcW w:w="3117" w:type="dxa"/>
          </w:tcPr>
          <w:p w14:paraId="0C13DD9A" w14:textId="4B765DBE" w:rsidR="00370468" w:rsidRDefault="00000000">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=300</m:t>
                </m:r>
              </m:oMath>
            </m:oMathPara>
          </w:p>
        </w:tc>
      </w:tr>
      <w:tr w:rsidR="00370468" w14:paraId="3C56D117" w14:textId="77777777" w:rsidTr="00370468">
        <w:tc>
          <w:tcPr>
            <w:tcW w:w="3116" w:type="dxa"/>
          </w:tcPr>
          <w:p w14:paraId="4D9EC578" w14:textId="1CDCB957" w:rsidR="00370468" w:rsidRDefault="003E03E5">
            <m:oMathPara>
              <m:oMath>
                <m:r>
                  <w:rPr>
                    <w:rFonts w:ascii="Cambria Math" w:hAnsi="Cambria Math"/>
                  </w:rPr>
                  <m:t>a</m:t>
                </m:r>
              </m:oMath>
            </m:oMathPara>
          </w:p>
        </w:tc>
        <w:tc>
          <w:tcPr>
            <w:tcW w:w="3117" w:type="dxa"/>
          </w:tcPr>
          <w:p w14:paraId="5F0A6921" w14:textId="3ADFEF8B" w:rsidR="00370468" w:rsidRDefault="003E03E5">
            <w:r>
              <w:t>Per-Th2 cell biomass inhibition rate</w:t>
            </w:r>
          </w:p>
        </w:tc>
        <w:tc>
          <w:tcPr>
            <w:tcW w:w="3117" w:type="dxa"/>
          </w:tcPr>
          <w:p w14:paraId="2D6FFD57" w14:textId="5FFFE241" w:rsidR="00370468" w:rsidRDefault="003E03E5">
            <m:oMathPara>
              <m:oMath>
                <m:r>
                  <w:rPr>
                    <w:rFonts w:ascii="Cambria Math" w:hAnsi="Cambria Math"/>
                  </w:rPr>
                  <m:t>a=0.004</m:t>
                </m:r>
              </m:oMath>
            </m:oMathPara>
          </w:p>
        </w:tc>
      </w:tr>
      <w:tr w:rsidR="00370468" w14:paraId="61A73EA5" w14:textId="77777777" w:rsidTr="00370468">
        <w:tc>
          <w:tcPr>
            <w:tcW w:w="3116" w:type="dxa"/>
          </w:tcPr>
          <w:p w14:paraId="69A03B11" w14:textId="55F6A119" w:rsidR="00370468" w:rsidRDefault="003E03E5">
            <m:oMathPara>
              <m:oMath>
                <m:r>
                  <w:rPr>
                    <w:rFonts w:ascii="Cambria Math" w:hAnsi="Cambria Math"/>
                  </w:rPr>
                  <m:t>b</m:t>
                </m:r>
              </m:oMath>
            </m:oMathPara>
          </w:p>
        </w:tc>
        <w:tc>
          <w:tcPr>
            <w:tcW w:w="3117" w:type="dxa"/>
          </w:tcPr>
          <w:p w14:paraId="4306E19A" w14:textId="49CA9DE9" w:rsidR="00370468" w:rsidRDefault="003E03E5">
            <w:r>
              <w:t>Maximum birth rate of new hosts</w:t>
            </w:r>
          </w:p>
        </w:tc>
        <w:tc>
          <w:tcPr>
            <w:tcW w:w="3117" w:type="dxa"/>
          </w:tcPr>
          <w:p w14:paraId="7A09B665" w14:textId="5A0415F7" w:rsidR="00370468" w:rsidRDefault="003E03E5">
            <m:oMathPara>
              <m:oMath>
                <m:r>
                  <w:rPr>
                    <w:rFonts w:ascii="Cambria Math" w:hAnsi="Cambria Math"/>
                  </w:rPr>
                  <m:t>b=0.1</m:t>
                </m:r>
              </m:oMath>
            </m:oMathPara>
          </w:p>
        </w:tc>
      </w:tr>
      <w:tr w:rsidR="00370468" w14:paraId="688F7FDC" w14:textId="77777777" w:rsidTr="00370468">
        <w:tc>
          <w:tcPr>
            <w:tcW w:w="3116" w:type="dxa"/>
          </w:tcPr>
          <w:p w14:paraId="681B26D1" w14:textId="57ED60D5" w:rsidR="00370468" w:rsidRDefault="003E03E5">
            <m:oMathPara>
              <m:oMath>
                <m:r>
                  <w:rPr>
                    <w:rFonts w:ascii="Cambria Math" w:hAnsi="Cambria Math"/>
                  </w:rPr>
                  <m:t>K</m:t>
                </m:r>
              </m:oMath>
            </m:oMathPara>
          </w:p>
        </w:tc>
        <w:tc>
          <w:tcPr>
            <w:tcW w:w="3117" w:type="dxa"/>
          </w:tcPr>
          <w:p w14:paraId="74AD08D3" w14:textId="4E1C17E9" w:rsidR="00370468" w:rsidRDefault="003E03E5">
            <w:r>
              <w:t>Host carrying capacity</w:t>
            </w:r>
          </w:p>
        </w:tc>
        <w:tc>
          <w:tcPr>
            <w:tcW w:w="3117" w:type="dxa"/>
          </w:tcPr>
          <w:p w14:paraId="2D386BE2" w14:textId="4E54F0F6" w:rsidR="00370468" w:rsidRDefault="003E03E5">
            <m:oMathPara>
              <m:oMath>
                <m:r>
                  <w:rPr>
                    <w:rFonts w:ascii="Cambria Math" w:hAnsi="Cambria Math"/>
                  </w:rPr>
                  <m:t>K=100</m:t>
                </m:r>
              </m:oMath>
            </m:oMathPara>
          </w:p>
        </w:tc>
      </w:tr>
      <w:tr w:rsidR="00370468" w14:paraId="386662CD" w14:textId="77777777" w:rsidTr="00370468">
        <w:tc>
          <w:tcPr>
            <w:tcW w:w="3116" w:type="dxa"/>
          </w:tcPr>
          <w:p w14:paraId="6429150E" w14:textId="6ABF9C2B" w:rsidR="00370468" w:rsidRDefault="003E03E5">
            <m:oMathPara>
              <m:oMath>
                <m:r>
                  <w:rPr>
                    <w:rFonts w:ascii="Cambria Math" w:hAnsi="Cambria Math"/>
                  </w:rPr>
                  <m:t>c</m:t>
                </m:r>
              </m:oMath>
            </m:oMathPara>
          </w:p>
        </w:tc>
        <w:tc>
          <w:tcPr>
            <w:tcW w:w="3117" w:type="dxa"/>
          </w:tcPr>
          <w:p w14:paraId="171996C6" w14:textId="2E54A79C" w:rsidR="00370468" w:rsidRDefault="003E03E5">
            <w:r>
              <w:t>Per-host contact rate</w:t>
            </w:r>
          </w:p>
        </w:tc>
        <w:tc>
          <w:tcPr>
            <w:tcW w:w="3117" w:type="dxa"/>
          </w:tcPr>
          <w:p w14:paraId="4BB9F7DB" w14:textId="4757D5FD" w:rsidR="00370468" w:rsidRDefault="003E03E5">
            <m:oMathPara>
              <m:oMath>
                <m:r>
                  <w:rPr>
                    <w:rFonts w:ascii="Cambria Math" w:hAnsi="Cambria Math"/>
                  </w:rPr>
                  <m:t>c=0.003</m:t>
                </m:r>
              </m:oMath>
            </m:oMathPara>
          </w:p>
        </w:tc>
      </w:tr>
      <w:tr w:rsidR="00370468" w14:paraId="30B89043" w14:textId="77777777" w:rsidTr="00370468">
        <w:tc>
          <w:tcPr>
            <w:tcW w:w="3116" w:type="dxa"/>
          </w:tcPr>
          <w:p w14:paraId="4AE92EEF" w14:textId="3852BEE4" w:rsidR="00370468" w:rsidRDefault="003E03E5">
            <m:oMathPara>
              <m:oMath>
                <m:r>
                  <w:rPr>
                    <w:rFonts w:ascii="Cambria Math" w:hAnsi="Cambria Math"/>
                  </w:rPr>
                  <m:t>v</m:t>
                </m:r>
              </m:oMath>
            </m:oMathPara>
          </w:p>
        </w:tc>
        <w:tc>
          <w:tcPr>
            <w:tcW w:w="3117" w:type="dxa"/>
          </w:tcPr>
          <w:p w14:paraId="6EBA6635" w14:textId="2C31FADC" w:rsidR="00370468" w:rsidRDefault="003E03E5">
            <w:r>
              <w:t>Per-parasite virulence</w:t>
            </w:r>
          </w:p>
        </w:tc>
        <w:tc>
          <w:tcPr>
            <w:tcW w:w="3117" w:type="dxa"/>
          </w:tcPr>
          <w:p w14:paraId="7FEFE1DB" w14:textId="118ED543" w:rsidR="00370468" w:rsidRDefault="003E03E5">
            <w:r>
              <w:t xml:space="preserve">Evolving: </w:t>
            </w:r>
            <m:oMath>
              <m:r>
                <w:rPr>
                  <w:rFonts w:ascii="Cambria Math" w:hAnsi="Cambria Math"/>
                </w:rPr>
                <m:t>v(0)=0.0001</m:t>
              </m:r>
            </m:oMath>
          </w:p>
        </w:tc>
      </w:tr>
      <w:tr w:rsidR="00370468" w14:paraId="322E747B" w14:textId="77777777" w:rsidTr="00370468">
        <w:tc>
          <w:tcPr>
            <w:tcW w:w="3116" w:type="dxa"/>
          </w:tcPr>
          <w:p w14:paraId="33831E00" w14:textId="03F9E1DE" w:rsidR="00370468" w:rsidRDefault="00000000">
            <m:oMathPara>
              <m:oMath>
                <m:sSub>
                  <m:sSubPr>
                    <m:ctrlPr>
                      <w:rPr>
                        <w:rFonts w:ascii="Cambria Math" w:hAnsi="Cambria Math"/>
                        <w:i/>
                      </w:rPr>
                    </m:ctrlPr>
                  </m:sSubPr>
                  <m:e>
                    <m:r>
                      <w:rPr>
                        <w:rFonts w:ascii="Cambria Math" w:hAnsi="Cambria Math"/>
                      </w:rPr>
                      <m:t>v</m:t>
                    </m:r>
                  </m:e>
                  <m:sub>
                    <m:r>
                      <w:rPr>
                        <w:rFonts w:ascii="Cambria Math" w:hAnsi="Cambria Math"/>
                      </w:rPr>
                      <m:t>CV</m:t>
                    </m:r>
                  </m:sub>
                </m:sSub>
              </m:oMath>
            </m:oMathPara>
          </w:p>
        </w:tc>
        <w:tc>
          <w:tcPr>
            <w:tcW w:w="3117" w:type="dxa"/>
          </w:tcPr>
          <w:p w14:paraId="4822C0AA" w14:textId="7D687D5A" w:rsidR="00370468" w:rsidRDefault="003E03E5">
            <w:r>
              <w:t xml:space="preserve">Coefficient of variation in </w:t>
            </w:r>
            <w:r w:rsidR="00852AD3">
              <w:t>virulence</w:t>
            </w:r>
          </w:p>
        </w:tc>
        <w:tc>
          <w:tcPr>
            <w:tcW w:w="3117" w:type="dxa"/>
          </w:tcPr>
          <w:p w14:paraId="78460B5A" w14:textId="12D52FFD" w:rsidR="00370468" w:rsidRDefault="00000000">
            <m:oMathPara>
              <m:oMath>
                <m:sSub>
                  <m:sSubPr>
                    <m:ctrlPr>
                      <w:rPr>
                        <w:rFonts w:ascii="Cambria Math" w:hAnsi="Cambria Math"/>
                        <w:i/>
                      </w:rPr>
                    </m:ctrlPr>
                  </m:sSubPr>
                  <m:e>
                    <m:r>
                      <w:rPr>
                        <w:rFonts w:ascii="Cambria Math" w:hAnsi="Cambria Math"/>
                      </w:rPr>
                      <m:t>v</m:t>
                    </m:r>
                  </m:e>
                  <m:sub>
                    <m:r>
                      <w:rPr>
                        <w:rFonts w:ascii="Cambria Math" w:hAnsi="Cambria Math"/>
                      </w:rPr>
                      <m:t>CV</m:t>
                    </m:r>
                  </m:sub>
                </m:sSub>
                <m:r>
                  <w:rPr>
                    <w:rFonts w:ascii="Cambria Math" w:hAnsi="Cambria Math"/>
                  </w:rPr>
                  <m:t>=0.0001</m:t>
                </m:r>
              </m:oMath>
            </m:oMathPara>
          </w:p>
        </w:tc>
      </w:tr>
    </w:tbl>
    <w:p w14:paraId="149D3CFF" w14:textId="77777777" w:rsidR="00370468" w:rsidRDefault="00370468"/>
    <w:p w14:paraId="6AFE264D" w14:textId="77777777" w:rsidR="00885F91" w:rsidRPr="00885F91" w:rsidRDefault="00885F91"/>
    <w:p w14:paraId="20B2F52C" w14:textId="77777777" w:rsidR="006D05AF" w:rsidRDefault="006D05AF"/>
    <w:p w14:paraId="69C4E190" w14:textId="77777777" w:rsidR="006D05AF" w:rsidRDefault="006D05AF"/>
    <w:sectPr w:rsidR="006D05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5AF"/>
    <w:rsid w:val="000C0FAF"/>
    <w:rsid w:val="001D3A81"/>
    <w:rsid w:val="00217B1D"/>
    <w:rsid w:val="002F7A04"/>
    <w:rsid w:val="00301422"/>
    <w:rsid w:val="00316051"/>
    <w:rsid w:val="00370468"/>
    <w:rsid w:val="00397EFC"/>
    <w:rsid w:val="003B2BD2"/>
    <w:rsid w:val="003E03E5"/>
    <w:rsid w:val="003E5B14"/>
    <w:rsid w:val="004816D9"/>
    <w:rsid w:val="006D05AF"/>
    <w:rsid w:val="006D54BC"/>
    <w:rsid w:val="0080231D"/>
    <w:rsid w:val="008357A4"/>
    <w:rsid w:val="00852AD3"/>
    <w:rsid w:val="00885F91"/>
    <w:rsid w:val="00963DA9"/>
    <w:rsid w:val="0096460E"/>
    <w:rsid w:val="009F1197"/>
    <w:rsid w:val="00AB7649"/>
    <w:rsid w:val="00AC2A01"/>
    <w:rsid w:val="00AD0464"/>
    <w:rsid w:val="00B276C9"/>
    <w:rsid w:val="00BF54E6"/>
    <w:rsid w:val="00C12C1A"/>
    <w:rsid w:val="00C24013"/>
    <w:rsid w:val="00CD1DA5"/>
    <w:rsid w:val="00CE2326"/>
    <w:rsid w:val="00DD2EA6"/>
    <w:rsid w:val="00DE7E8B"/>
    <w:rsid w:val="00DF1402"/>
    <w:rsid w:val="00EF5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388AC8"/>
  <w15:chartTrackingRefBased/>
  <w15:docId w15:val="{3C445EC3-AD4A-DD48-9297-250FF6E34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5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5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5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5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5AF"/>
    <w:rPr>
      <w:rFonts w:eastAsiaTheme="majorEastAsia" w:cstheme="majorBidi"/>
      <w:color w:val="272727" w:themeColor="text1" w:themeTint="D8"/>
    </w:rPr>
  </w:style>
  <w:style w:type="paragraph" w:styleId="Title">
    <w:name w:val="Title"/>
    <w:basedOn w:val="Normal"/>
    <w:next w:val="Normal"/>
    <w:link w:val="TitleChar"/>
    <w:uiPriority w:val="10"/>
    <w:qFormat/>
    <w:rsid w:val="006D05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5A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5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05AF"/>
    <w:rPr>
      <w:i/>
      <w:iCs/>
      <w:color w:val="404040" w:themeColor="text1" w:themeTint="BF"/>
    </w:rPr>
  </w:style>
  <w:style w:type="paragraph" w:styleId="ListParagraph">
    <w:name w:val="List Paragraph"/>
    <w:basedOn w:val="Normal"/>
    <w:uiPriority w:val="34"/>
    <w:qFormat/>
    <w:rsid w:val="006D05AF"/>
    <w:pPr>
      <w:ind w:left="720"/>
      <w:contextualSpacing/>
    </w:pPr>
  </w:style>
  <w:style w:type="character" w:styleId="IntenseEmphasis">
    <w:name w:val="Intense Emphasis"/>
    <w:basedOn w:val="DefaultParagraphFont"/>
    <w:uiPriority w:val="21"/>
    <w:qFormat/>
    <w:rsid w:val="006D05AF"/>
    <w:rPr>
      <w:i/>
      <w:iCs/>
      <w:color w:val="0F4761" w:themeColor="accent1" w:themeShade="BF"/>
    </w:rPr>
  </w:style>
  <w:style w:type="paragraph" w:styleId="IntenseQuote">
    <w:name w:val="Intense Quote"/>
    <w:basedOn w:val="Normal"/>
    <w:next w:val="Normal"/>
    <w:link w:val="IntenseQuoteChar"/>
    <w:uiPriority w:val="30"/>
    <w:qFormat/>
    <w:rsid w:val="006D0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5AF"/>
    <w:rPr>
      <w:i/>
      <w:iCs/>
      <w:color w:val="0F4761" w:themeColor="accent1" w:themeShade="BF"/>
    </w:rPr>
  </w:style>
  <w:style w:type="character" w:styleId="IntenseReference">
    <w:name w:val="Intense Reference"/>
    <w:basedOn w:val="DefaultParagraphFont"/>
    <w:uiPriority w:val="32"/>
    <w:qFormat/>
    <w:rsid w:val="006D05AF"/>
    <w:rPr>
      <w:b/>
      <w:bCs/>
      <w:smallCaps/>
      <w:color w:val="0F4761" w:themeColor="accent1" w:themeShade="BF"/>
      <w:spacing w:val="5"/>
    </w:rPr>
  </w:style>
  <w:style w:type="table" w:styleId="TableGrid">
    <w:name w:val="Table Grid"/>
    <w:basedOn w:val="TableNormal"/>
    <w:uiPriority w:val="39"/>
    <w:rsid w:val="00370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7046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4173153">
      <w:bodyDiv w:val="1"/>
      <w:marLeft w:val="0"/>
      <w:marRight w:val="0"/>
      <w:marTop w:val="0"/>
      <w:marBottom w:val="0"/>
      <w:divBdr>
        <w:top w:val="none" w:sz="0" w:space="0" w:color="auto"/>
        <w:left w:val="none" w:sz="0" w:space="0" w:color="auto"/>
        <w:bottom w:val="none" w:sz="0" w:space="0" w:color="auto"/>
        <w:right w:val="none" w:sz="0" w:space="0" w:color="auto"/>
      </w:divBdr>
      <w:divsChild>
        <w:div w:id="3001862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8</Pages>
  <Words>1626</Words>
  <Characters>9270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 Cressler</dc:creator>
  <cp:keywords/>
  <dc:description/>
  <cp:lastModifiedBy>Clay Cressler</cp:lastModifiedBy>
  <cp:revision>14</cp:revision>
  <dcterms:created xsi:type="dcterms:W3CDTF">2026-04-15T18:05:00Z</dcterms:created>
  <dcterms:modified xsi:type="dcterms:W3CDTF">2026-05-12T22:11:00Z</dcterms:modified>
</cp:coreProperties>
</file>