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2E75AE" w14:textId="737638B4" w:rsidR="00F653E9" w:rsidRDefault="00322FC7">
      <w:pPr>
        <w:rPr>
          <w:lang w:val="en-US"/>
        </w:rPr>
      </w:pPr>
      <w:r>
        <w:rPr>
          <w:lang w:val="en-US"/>
        </w:rPr>
        <w:t>:</w:t>
      </w:r>
      <w:r w:rsidR="004D470A">
        <w:rPr>
          <w:lang w:val="en-US"/>
        </w:rPr>
        <w:t>I would like to understand the simplest possible model equations that can produce the range of dynamical behaviors that are biologically reasonable for a model of Th1-Th2 self-promotion and cross-inhibition. As such, I will explore several different models, all of which start from the basic structure.</w:t>
      </w:r>
    </w:p>
    <w:p w14:paraId="4204F008" w14:textId="52794224" w:rsidR="004D470A" w:rsidRDefault="004D470A">
      <w:pPr>
        <w:rPr>
          <w:lang w:val="en-US"/>
        </w:rPr>
      </w:pPr>
    </w:p>
    <w:p w14:paraId="10EB33C0" w14:textId="3E418893" w:rsidR="004D470A" w:rsidRDefault="004D470A">
      <w:pPr>
        <w:rPr>
          <w:lang w:val="en-US"/>
        </w:rPr>
      </w:pPr>
      <w:r>
        <w:rPr>
          <w:b/>
          <w:bCs/>
          <w:u w:val="single"/>
          <w:lang w:val="en-US"/>
        </w:rPr>
        <w:t>Model 1</w:t>
      </w:r>
    </w:p>
    <w:p w14:paraId="7321395B" w14:textId="5CA23C9C" w:rsidR="004D470A" w:rsidRDefault="004D470A">
      <w:pPr>
        <w:rPr>
          <w:lang w:val="en-US"/>
        </w:rPr>
      </w:pPr>
    </w:p>
    <w:p w14:paraId="56FC23E2" w14:textId="03C3B264" w:rsidR="004D470A" w:rsidRPr="004D470A" w:rsidRDefault="00322FC7">
      <w:pPr>
        <w:rPr>
          <w:rFonts w:eastAsiaTheme="minorEastAsia"/>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den>
          </m:f>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ij</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m:t>
                  </m:r>
                </m:sub>
              </m:sSub>
            </m:den>
          </m:f>
          <m:r>
            <w:rPr>
              <w:rFonts w:ascii="Cambria Math" w:hAnsi="Cambria Math"/>
              <w:lang w:val="en-US"/>
            </w:rPr>
            <m:t xml:space="preserve">-m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m:oMathPara>
    </w:p>
    <w:p w14:paraId="02B1672B" w14:textId="77777777" w:rsidR="004D470A" w:rsidRDefault="004D470A">
      <w:pPr>
        <w:rPr>
          <w:rFonts w:eastAsiaTheme="minorEastAsia"/>
          <w:lang w:val="en-US"/>
        </w:rPr>
      </w:pPr>
    </w:p>
    <w:p w14:paraId="7CDA393C" w14:textId="08024FAB" w:rsidR="004D470A" w:rsidRDefault="004D470A">
      <w:pPr>
        <w:rPr>
          <w:rFonts w:eastAsiaTheme="minorEastAsia"/>
          <w:lang w:val="en-US"/>
        </w:rPr>
      </w:pPr>
      <w:r>
        <w:rPr>
          <w:rFonts w:eastAsiaTheme="minorEastAsia"/>
          <w:lang w:val="en-US"/>
        </w:rPr>
        <w:t xml:space="preserve">Here I am assuming there is some baseline T cell proliferation that is independent of the T-cell population itself. This could be driven by cytokines produced by other molecules. I use the Hill function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den>
        </m:f>
      </m:oMath>
      <w:r>
        <w:rPr>
          <w:rFonts w:eastAsiaTheme="minorEastAsia"/>
          <w:lang w:val="en-US"/>
        </w:rPr>
        <w:t xml:space="preserve"> to model self-promotion of T cell proliferation, and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ij</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m:t>
                </m:r>
              </m:sub>
            </m:sSub>
          </m:den>
        </m:f>
      </m:oMath>
      <w:r>
        <w:rPr>
          <w:rFonts w:eastAsiaTheme="minorEastAsia"/>
          <w:lang w:val="en-US"/>
        </w:rPr>
        <w:t xml:space="preserve"> to model cross-inhibition by the other T cell population. Note that I am modeling cross-inhibition as a reduction in the proliferation rate, since this is more biologically reasonable than modeling it as a loss term in the equation. I also include a baseline loss rate of T cells.</w:t>
      </w:r>
    </w:p>
    <w:p w14:paraId="26DC09B3" w14:textId="626CEBA5" w:rsidR="004D470A" w:rsidRDefault="004D470A">
      <w:pPr>
        <w:rPr>
          <w:rFonts w:eastAsiaTheme="minorEastAsia"/>
          <w:lang w:val="en-US"/>
        </w:rPr>
      </w:pPr>
    </w:p>
    <w:p w14:paraId="07990E0F" w14:textId="4B2CBBAC" w:rsidR="004D470A" w:rsidRDefault="004D470A">
      <w:pPr>
        <w:rPr>
          <w:rFonts w:eastAsiaTheme="minorEastAsia"/>
          <w:lang w:val="en-US"/>
        </w:rPr>
      </w:pPr>
      <w:r>
        <w:rPr>
          <w:rFonts w:eastAsiaTheme="minorEastAsia"/>
          <w:lang w:val="en-US"/>
        </w:rPr>
        <w:t>To analyze this model, it is convenient to nondimensionalize it</w:t>
      </w:r>
      <w:r w:rsidR="000648F5">
        <w:rPr>
          <w:rFonts w:eastAsiaTheme="minorEastAsia"/>
          <w:lang w:val="en-US"/>
        </w:rPr>
        <w:t xml:space="preserve">. In particular, I can nondimensionalize the T cell populations as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r w:rsidR="000648F5">
        <w:rPr>
          <w:rFonts w:eastAsiaTheme="minorEastAsia"/>
          <w:lang w:val="en-US"/>
        </w:rPr>
        <w:t xml:space="preserve"> and time as </w:t>
      </w:r>
      <m:oMath>
        <m:r>
          <w:rPr>
            <w:rFonts w:ascii="Cambria Math" w:eastAsiaTheme="minorEastAsia" w:hAnsi="Cambria Math"/>
            <w:lang w:val="en-US"/>
          </w:rPr>
          <m:t>τ=t m</m:t>
        </m:r>
      </m:oMath>
      <w:r w:rsidR="000648F5">
        <w:rPr>
          <w:rFonts w:eastAsiaTheme="minorEastAsia"/>
          <w:lang w:val="en-US"/>
        </w:rPr>
        <w:t xml:space="preserve">. With the dimensionless parameters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num>
          <m:den>
            <m:r>
              <w:rPr>
                <w:rFonts w:ascii="Cambria Math" w:eastAsiaTheme="minorEastAsia" w:hAnsi="Cambria Math"/>
                <w:lang w:val="en-US"/>
              </w:rPr>
              <m:t xml:space="preserve">m </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den>
        </m:f>
      </m:oMath>
      <w:r w:rsidR="000648F5">
        <w:rPr>
          <w:rFonts w:eastAsiaTheme="minorEastAsia"/>
          <w:lang w:val="en-US"/>
        </w:rPr>
        <w:t xml:space="preserve"> (the baseline proliferation rate relative to the loss rate when the T cell population is at the abundance where proliferation is half its maximum value),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num>
          <m:den>
            <m:r>
              <w:rPr>
                <w:rFonts w:ascii="Cambria Math" w:eastAsiaTheme="minorEastAsia" w:hAnsi="Cambria Math"/>
                <w:lang w:val="en-US"/>
              </w:rPr>
              <m:t xml:space="preserve">m </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den>
        </m:f>
      </m:oMath>
      <w:r w:rsidR="000648F5">
        <w:rPr>
          <w:rFonts w:eastAsiaTheme="minorEastAsia"/>
          <w:lang w:val="en-US"/>
        </w:rPr>
        <w:t xml:space="preserve"> (the maximum proliferation rate relative to the loss rate when the T cell population is at the abundance where proliferation is half its maximum value), </w:t>
      </w:r>
      <m:oMath>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j</m:t>
            </m:r>
          </m:sub>
        </m:sSub>
      </m:oMath>
      <w:r w:rsidR="000648F5">
        <w:rPr>
          <w:rFonts w:eastAsiaTheme="minorEastAsia"/>
          <w:lang w:val="en-US"/>
        </w:rPr>
        <w:t xml:space="preserve"> (the ratio of the T cell abundance where </w:t>
      </w:r>
      <w:r w:rsidR="00AA0280">
        <w:rPr>
          <w:rFonts w:eastAsiaTheme="minorEastAsia"/>
          <w:lang w:val="en-US"/>
        </w:rPr>
        <w:t>cross-inhibition</w:t>
      </w:r>
      <w:r w:rsidR="000648F5">
        <w:rPr>
          <w:rFonts w:eastAsiaTheme="minorEastAsia"/>
          <w:lang w:val="en-US"/>
        </w:rPr>
        <w:t xml:space="preserve"> is half its </w:t>
      </w:r>
      <w:r w:rsidR="00AA0280">
        <w:rPr>
          <w:rFonts w:eastAsiaTheme="minorEastAsia"/>
          <w:lang w:val="en-US"/>
        </w:rPr>
        <w:t>minimum</w:t>
      </w:r>
      <w:r w:rsidR="000648F5">
        <w:rPr>
          <w:rFonts w:eastAsiaTheme="minorEastAsia"/>
          <w:lang w:val="en-US"/>
        </w:rPr>
        <w:t xml:space="preserve"> to the T cell abundance where </w:t>
      </w:r>
      <w:r w:rsidR="00AA0280">
        <w:rPr>
          <w:rFonts w:eastAsiaTheme="minorEastAsia"/>
          <w:lang w:val="en-US"/>
        </w:rPr>
        <w:t>self</w:t>
      </w:r>
      <w:r w:rsidR="000648F5">
        <w:rPr>
          <w:rFonts w:eastAsiaTheme="minorEastAsia"/>
          <w:lang w:val="en-US"/>
        </w:rPr>
        <w:t>-</w:t>
      </w:r>
      <w:r w:rsidR="00AA0280">
        <w:rPr>
          <w:rFonts w:eastAsiaTheme="minorEastAsia"/>
          <w:lang w:val="en-US"/>
        </w:rPr>
        <w:t>promotion</w:t>
      </w:r>
      <w:r w:rsidR="000648F5">
        <w:rPr>
          <w:rFonts w:eastAsiaTheme="minorEastAsia"/>
          <w:lang w:val="en-US"/>
        </w:rPr>
        <w:t xml:space="preserve"> is half its maximum). This nondimensionalization makes parameter estimates clearer. In particular, it is clear that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oMath>
      <w:r w:rsidR="003140AB">
        <w:rPr>
          <w:rFonts w:eastAsiaTheme="minorEastAsia"/>
          <w:lang w:val="en-US"/>
        </w:rPr>
        <w:t xml:space="preserve">, so that self-promotion of proliferation is much stronger than baseline proliferation. It is also clear </w:t>
      </w:r>
      <w:r w:rsidR="005914BA">
        <w:rPr>
          <w:rFonts w:eastAsiaTheme="minorEastAsia"/>
          <w:lang w:val="en-US"/>
        </w:rPr>
        <w:t>w</w:t>
      </w:r>
      <w:r w:rsidR="003140AB">
        <w:rPr>
          <w:rFonts w:eastAsiaTheme="minorEastAsia"/>
          <w:lang w:val="en-US"/>
        </w:rPr>
        <w:t>hat</w:t>
      </w:r>
      <w:r w:rsidR="005914BA">
        <w:rPr>
          <w:rFonts w:eastAsiaTheme="minorEastAsia"/>
          <w:lang w:val="en-US"/>
        </w:rPr>
        <w:t xml:space="preserve"> choosing</w:t>
      </w:r>
      <w:r w:rsidR="003140AB">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ij</m:t>
            </m:r>
          </m:sub>
        </m:sSub>
        <m:r>
          <w:rPr>
            <w:rFonts w:ascii="Cambria Math" w:eastAsiaTheme="minorEastAsia" w:hAnsi="Cambria Math"/>
            <w:lang w:val="en-US"/>
          </w:rPr>
          <m:t>&lt;1</m:t>
        </m:r>
      </m:oMath>
      <w:r w:rsidR="005914BA">
        <w:rPr>
          <w:rFonts w:eastAsiaTheme="minorEastAsia"/>
          <w:lang w:val="en-US"/>
        </w:rPr>
        <w:t xml:space="preserve"> versus </w:t>
      </w:r>
      <m:oMath>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ij</m:t>
            </m:r>
          </m:sub>
        </m:sSub>
        <m:r>
          <w:rPr>
            <w:rFonts w:ascii="Cambria Math" w:eastAsiaTheme="minorEastAsia" w:hAnsi="Cambria Math"/>
            <w:lang w:val="en-US"/>
          </w:rPr>
          <m:t>&gt;1</m:t>
        </m:r>
      </m:oMath>
      <w:r w:rsidR="005914BA">
        <w:rPr>
          <w:rFonts w:eastAsiaTheme="minorEastAsia"/>
          <w:lang w:val="en-US"/>
        </w:rPr>
        <w:t xml:space="preserve"> implies about the strength of self-promotion versus cross-inhibition</w:t>
      </w:r>
      <w:r w:rsidR="00AA0280">
        <w:rPr>
          <w:rFonts w:eastAsiaTheme="minorEastAsia"/>
          <w:lang w:val="en-US"/>
        </w:rPr>
        <w:t xml:space="preserve">; it seems likely that </w:t>
      </w:r>
      <m:oMath>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ij</m:t>
            </m:r>
          </m:sub>
        </m:sSub>
        <m:r>
          <w:rPr>
            <w:rFonts w:ascii="Cambria Math" w:eastAsiaTheme="minorEastAsia" w:hAnsi="Cambria Math"/>
            <w:lang w:val="en-US"/>
          </w:rPr>
          <m:t>&lt;1</m:t>
        </m:r>
      </m:oMath>
      <w:r w:rsidR="00AA0280">
        <w:rPr>
          <w:rFonts w:eastAsiaTheme="minorEastAsia"/>
          <w:lang w:val="en-US"/>
        </w:rPr>
        <w:t xml:space="preserve"> (self-promotion is stronger than cross-inhibition)</w:t>
      </w:r>
      <w:r w:rsidR="003140AB">
        <w:rPr>
          <w:rFonts w:eastAsiaTheme="minorEastAsia"/>
          <w:lang w:val="en-US"/>
        </w:rPr>
        <w:t>.</w:t>
      </w:r>
      <w:r w:rsidR="004005A1">
        <w:rPr>
          <w:rFonts w:eastAsiaTheme="minorEastAsia"/>
          <w:lang w:val="en-US"/>
        </w:rPr>
        <w:t xml:space="preserve"> This leads to the following model:</w:t>
      </w:r>
    </w:p>
    <w:p w14:paraId="3CF593DE" w14:textId="5B7356B0" w:rsidR="004005A1" w:rsidRDefault="00322FC7">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num>
            <m:den>
              <m:r>
                <w:rPr>
                  <w:rFonts w:ascii="Cambria Math" w:eastAsiaTheme="minorEastAsia" w:hAnsi="Cambria Math"/>
                  <w:lang w:val="en-US"/>
                </w:rPr>
                <m:t>dτ</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i</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num>
            <m:den>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den>
          </m:f>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ij</m:t>
                  </m:r>
                </m:sub>
              </m:sSub>
            </m:num>
            <m:den>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oMath>
      </m:oMathPara>
    </w:p>
    <w:p w14:paraId="59C5F770" w14:textId="1AB25955" w:rsidR="003140AB" w:rsidRDefault="003140AB">
      <w:pPr>
        <w:rPr>
          <w:rFonts w:eastAsiaTheme="minorEastAsia"/>
          <w:lang w:val="en-US"/>
        </w:rPr>
      </w:pPr>
    </w:p>
    <w:p w14:paraId="4719DCF5" w14:textId="5203178B" w:rsidR="003140AB" w:rsidRDefault="003140AB">
      <w:pPr>
        <w:rPr>
          <w:rFonts w:eastAsiaTheme="minorEastAsia"/>
          <w:lang w:val="en-US"/>
        </w:rPr>
      </w:pPr>
      <w:r>
        <w:rPr>
          <w:rFonts w:eastAsiaTheme="minorEastAsia"/>
          <w:lang w:val="en-US"/>
        </w:rPr>
        <w:t xml:space="preserve">To determine whether </w:t>
      </w:r>
      <w:proofErr w:type="spellStart"/>
      <w:r>
        <w:rPr>
          <w:rFonts w:eastAsiaTheme="minorEastAsia"/>
          <w:lang w:val="en-US"/>
        </w:rPr>
        <w:t>multistability</w:t>
      </w:r>
      <w:proofErr w:type="spellEnd"/>
      <w:r>
        <w:rPr>
          <w:rFonts w:eastAsiaTheme="minorEastAsia"/>
          <w:lang w:val="en-US"/>
        </w:rPr>
        <w:t xml:space="preserve"> is possible in this system, it is good to work with the system’s isoclines. These are given by the solutions of this equation:</w:t>
      </w:r>
    </w:p>
    <w:p w14:paraId="1F2EC2FF" w14:textId="44A66597" w:rsidR="003140AB" w:rsidRPr="003140AB" w:rsidRDefault="00322FC7">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m:t>
              </m:r>
            </m:sub>
          </m:sSub>
          <m:r>
            <w:rPr>
              <w:rFonts w:ascii="Cambria Math" w:hAnsi="Cambria Math"/>
              <w:lang w:val="en-US"/>
            </w:rPr>
            <m:t>=</m:t>
          </m:r>
          <m:f>
            <m:fPr>
              <m:ctrlPr>
                <w:rPr>
                  <w:rFonts w:ascii="Cambria Math" w:eastAsiaTheme="minorEastAsia" w:hAnsi="Cambria Math"/>
                  <w:i/>
                  <w:lang w:val="en-US"/>
                </w:rPr>
              </m:ctrlPr>
            </m:fPr>
            <m:num>
              <m:sSub>
                <m:sSubPr>
                  <m:ctrlPr>
                    <w:rPr>
                      <w:rFonts w:ascii="Cambria Math" w:hAnsi="Cambria Math"/>
                      <w:i/>
                      <w:lang w:val="en-US"/>
                    </w:rPr>
                  </m:ctrlPr>
                </m:sSubPr>
                <m:e>
                  <m:r>
                    <w:rPr>
                      <w:rFonts w:ascii="Cambria Math" w:hAnsi="Cambria Math"/>
                      <w:lang w:val="en-US"/>
                    </w:rPr>
                    <m:t>ι</m:t>
                  </m:r>
                </m:e>
                <m:sub>
                  <m:r>
                    <w:rPr>
                      <w:rFonts w:ascii="Cambria Math" w:hAnsi="Cambria Math"/>
                      <w:lang w:val="en-US"/>
                    </w:rPr>
                    <m:t>ij</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m:t>
                  </m:r>
                </m:sub>
              </m:sSub>
              <m:r>
                <w:rPr>
                  <w:rFonts w:ascii="Cambria Math" w:hAnsi="Cambria Math"/>
                  <w:lang w:val="en-US"/>
                </w:rPr>
                <m:t>)</m:t>
              </m:r>
              <m:ctrlPr>
                <w:rPr>
                  <w:rFonts w:ascii="Cambria Math" w:hAnsi="Cambria Math"/>
                  <w:i/>
                  <w:lang w:val="en-US"/>
                </w:rPr>
              </m:ctrlPr>
            </m:num>
            <m:den>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e>
              </m: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e>
              </m:d>
            </m:den>
          </m:f>
        </m:oMath>
      </m:oMathPara>
    </w:p>
    <w:p w14:paraId="3FF8D19C" w14:textId="10DD84B3" w:rsidR="003140AB" w:rsidRDefault="003140AB">
      <w:pPr>
        <w:rPr>
          <w:rFonts w:eastAsiaTheme="minorEastAsia"/>
          <w:lang w:val="en-US"/>
        </w:rPr>
      </w:pPr>
      <w:r>
        <w:rPr>
          <w:rFonts w:eastAsiaTheme="minorEastAsia"/>
          <w:lang w:val="en-US"/>
        </w:rPr>
        <w:t xml:space="preserve">Notice that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=0</m:t>
        </m:r>
      </m:oMath>
      <w:r>
        <w:rPr>
          <w:rFonts w:eastAsiaTheme="minorEastAsia"/>
          <w:lang w:val="en-US"/>
        </w:rPr>
        <w:t xml:space="preserve"> is not an isocline of this system because </w:t>
      </w:r>
      <w:r w:rsidR="00BC6988">
        <w:rPr>
          <w:rFonts w:eastAsiaTheme="minorEastAsia"/>
          <w:lang w:val="en-US"/>
        </w:rPr>
        <w:t>of the baseline proliferation term.</w:t>
      </w:r>
      <w:r w:rsidR="00D90537">
        <w:rPr>
          <w:rFonts w:eastAsiaTheme="minorEastAsia"/>
          <w:lang w:val="en-US"/>
        </w:rPr>
        <w:t xml:space="preserve"> In order for the isocline to exist in the positive quadrant, the numerator and denominator must either both be positive, or both negative. The denominator is positive for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oMath>
      <w:r w:rsidR="00D90537">
        <w:rPr>
          <w:rFonts w:eastAsiaTheme="minorEastAsia"/>
          <w:lang w:val="en-US"/>
        </w:rPr>
        <w:t xml:space="preserve">. This guarantees that the numerator will be positive as well (the numerator simplifies to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i</m:t>
            </m:r>
          </m:sub>
        </m:sSub>
      </m:oMath>
      <w:r w:rsidR="00D90537">
        <w:rPr>
          <w:rFonts w:eastAsiaTheme="minorEastAsia"/>
          <w:lang w:val="en-US"/>
        </w:rPr>
        <w:t xml:space="preserve"> at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oMath>
      <w:r w:rsidR="00D90537">
        <w:rPr>
          <w:rFonts w:eastAsiaTheme="minorEastAsia"/>
          <w:lang w:val="en-US"/>
        </w:rPr>
        <w:t xml:space="preserve">). </w:t>
      </w:r>
    </w:p>
    <w:p w14:paraId="588F936D" w14:textId="17179B89" w:rsidR="00BC6988" w:rsidRDefault="00BC6988">
      <w:pPr>
        <w:rPr>
          <w:rFonts w:eastAsiaTheme="minorEastAsia"/>
          <w:lang w:val="en-US"/>
        </w:rPr>
      </w:pPr>
    </w:p>
    <w:p w14:paraId="7FB68F90" w14:textId="4E0E37A6" w:rsidR="00BC6988" w:rsidRDefault="00BC6988">
      <w:pPr>
        <w:rPr>
          <w:rFonts w:eastAsiaTheme="minorEastAsia"/>
          <w:lang w:val="en-US"/>
        </w:rPr>
      </w:pPr>
      <w:r>
        <w:rPr>
          <w:rFonts w:eastAsiaTheme="minorEastAsia"/>
          <w:lang w:val="en-US"/>
        </w:rPr>
        <w:t xml:space="preserve">Whether </w:t>
      </w:r>
      <w:proofErr w:type="spellStart"/>
      <w:r>
        <w:rPr>
          <w:rFonts w:eastAsiaTheme="minorEastAsia"/>
          <w:lang w:val="en-US"/>
        </w:rPr>
        <w:t>multistability</w:t>
      </w:r>
      <w:proofErr w:type="spellEnd"/>
      <w:r>
        <w:rPr>
          <w:rFonts w:eastAsiaTheme="minorEastAsia"/>
          <w:lang w:val="en-US"/>
        </w:rPr>
        <w:t xml:space="preserve"> is possible depends on the shapes of these isoclines. If the shapes are too simple (e.g., if they were straight lines), then there can only be a single intersection of the isoclines, and hence only a single equilibrium. To get a sense of these shapes we can look at the derivatives of this isocline with respect to the state variables.</w:t>
      </w:r>
    </w:p>
    <w:p w14:paraId="1279C914" w14:textId="046B44F2" w:rsidR="00BC6988" w:rsidRPr="00BC6988" w:rsidRDefault="00322FC7">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m:t>
                  </m:r>
                </m:sub>
              </m:sSub>
            </m:num>
            <m:den>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den>
          </m:f>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i</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e>
              </m:d>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i</m:t>
                  </m:r>
                </m:sub>
              </m:sSub>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ij</m:t>
                  </m:r>
                </m:sub>
              </m:sSub>
            </m:num>
            <m:den>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e>
                  </m:d>
                </m:e>
                <m:sup>
                  <m:r>
                    <w:rPr>
                      <w:rFonts w:ascii="Cambria Math" w:eastAsiaTheme="minorEastAsia" w:hAnsi="Cambria Math"/>
                      <w:lang w:val="en-US"/>
                    </w:rPr>
                    <m:t>2</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e>
                  </m:d>
                </m:e>
                <m:sup>
                  <m:r>
                    <w:rPr>
                      <w:rFonts w:ascii="Cambria Math" w:eastAsiaTheme="minorEastAsia" w:hAnsi="Cambria Math"/>
                      <w:lang w:val="en-US"/>
                    </w:rPr>
                    <m:t>2</m:t>
                  </m:r>
                </m:sup>
              </m:sSup>
            </m:den>
          </m:f>
        </m:oMath>
      </m:oMathPara>
    </w:p>
    <w:p w14:paraId="74F5C07B" w14:textId="36D29EEC" w:rsidR="00BC6988" w:rsidRPr="00D90537" w:rsidRDefault="00322FC7">
      <w:pPr>
        <w:rPr>
          <w:rFonts w:eastAsiaTheme="minorEastAsia"/>
          <w:lang w:val="en-US"/>
        </w:rPr>
      </w:pPr>
      <m:oMathPara>
        <m:oMath>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m:t>
                  </m:r>
                </m:sub>
              </m:sSub>
            </m:num>
            <m:den>
              <m:r>
                <w:rPr>
                  <w:rFonts w:ascii="Cambria Math" w:eastAsiaTheme="minorEastAsia" w:hAnsi="Cambria Math"/>
                  <w:lang w:val="en-US"/>
                </w:rPr>
                <m:t>d</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i</m:t>
                  </m:r>
                </m:sub>
                <m:sup>
                  <m:r>
                    <w:rPr>
                      <w:rFonts w:ascii="Cambria Math" w:eastAsiaTheme="minorEastAsia" w:hAnsi="Cambria Math"/>
                      <w:lang w:val="en-US"/>
                    </w:rPr>
                    <m:t>2</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i</m:t>
                  </m:r>
                </m:sub>
              </m:sSub>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ij</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i</m:t>
                      </m:r>
                    </m:sub>
                    <m:sup>
                      <m:r>
                        <w:rPr>
                          <w:rFonts w:ascii="Cambria Math" w:eastAsiaTheme="minorEastAsia" w:hAnsi="Cambria Math"/>
                          <w:lang w:val="en-US"/>
                        </w:rPr>
                        <m:t>3</m:t>
                      </m:r>
                    </m:sup>
                  </m:sSubSup>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e>
                  </m:d>
                </m:e>
              </m:d>
            </m:num>
            <m:den>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e>
                  </m:d>
                </m:e>
                <m:sup>
                  <m:r>
                    <w:rPr>
                      <w:rFonts w:ascii="Cambria Math" w:eastAsiaTheme="minorEastAsia" w:hAnsi="Cambria Math"/>
                      <w:lang w:val="en-US"/>
                    </w:rPr>
                    <m:t>3</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e>
                  </m:d>
                </m:e>
                <m:sup>
                  <m:r>
                    <w:rPr>
                      <w:rFonts w:ascii="Cambria Math" w:eastAsiaTheme="minorEastAsia" w:hAnsi="Cambria Math"/>
                      <w:lang w:val="en-US"/>
                    </w:rPr>
                    <m:t>3</m:t>
                  </m:r>
                </m:sup>
              </m:sSup>
            </m:den>
          </m:f>
        </m:oMath>
      </m:oMathPara>
    </w:p>
    <w:p w14:paraId="292D4ECE" w14:textId="6D6EEE55" w:rsidR="00D90537" w:rsidRDefault="00D90537">
      <w:pPr>
        <w:rPr>
          <w:rFonts w:eastAsiaTheme="minorEastAsia"/>
          <w:lang w:val="en-US"/>
        </w:rPr>
      </w:pPr>
      <w:r>
        <w:rPr>
          <w:rFonts w:eastAsiaTheme="minorEastAsia"/>
          <w:lang w:val="en-US"/>
        </w:rPr>
        <w:t>The first derivative is always negative, meaning that the isoclines are decreasing functions. The second derivative is always positive, meaning that the curvature of the isocline doesn’t change. The isoclines will have a shape like the following:</w:t>
      </w:r>
    </w:p>
    <w:p w14:paraId="53BA3780" w14:textId="0A3D7096" w:rsidR="00D90537" w:rsidRDefault="00D90537">
      <w:pPr>
        <w:rPr>
          <w:rFonts w:eastAsiaTheme="minorEastAsia"/>
          <w:lang w:val="en-US"/>
        </w:rPr>
      </w:pPr>
      <w:r w:rsidRPr="00D90537">
        <w:rPr>
          <w:rFonts w:eastAsiaTheme="minorEastAsia"/>
          <w:noProof/>
          <w:lang w:val="en-US"/>
        </w:rPr>
        <w:drawing>
          <wp:inline distT="0" distB="0" distL="0" distR="0" wp14:anchorId="09CCEC7C" wp14:editId="3189B04E">
            <wp:extent cx="3397827" cy="20764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21300" cy="2090795"/>
                    </a:xfrm>
                    <a:prstGeom prst="rect">
                      <a:avLst/>
                    </a:prstGeom>
                  </pic:spPr>
                </pic:pic>
              </a:graphicData>
            </a:graphic>
          </wp:inline>
        </w:drawing>
      </w:r>
    </w:p>
    <w:p w14:paraId="7214F292" w14:textId="30BA1288" w:rsidR="00D90537" w:rsidRDefault="00D90537">
      <w:pPr>
        <w:rPr>
          <w:rFonts w:eastAsiaTheme="minorEastAsia"/>
          <w:lang w:val="en-US"/>
        </w:rPr>
      </w:pPr>
    </w:p>
    <w:p w14:paraId="6D65C325" w14:textId="5C92700D" w:rsidR="00D90537" w:rsidRDefault="00D90537">
      <w:pPr>
        <w:rPr>
          <w:rFonts w:eastAsiaTheme="minorEastAsia"/>
          <w:lang w:val="en-US"/>
        </w:rPr>
      </w:pPr>
      <w:r>
        <w:rPr>
          <w:rFonts w:eastAsiaTheme="minorEastAsia"/>
          <w:lang w:val="en-US"/>
        </w:rPr>
        <w:t xml:space="preserve">With two isoclines that each have this shape, the number of possible intersections is small. In fact, if the parameters for each response are the same (e.g.,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j</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j</m:t>
            </m:r>
          </m:sub>
        </m:sSub>
      </m:oMath>
      <w:r>
        <w:rPr>
          <w:rFonts w:eastAsiaTheme="minorEastAsia"/>
          <w:lang w:val="en-US"/>
        </w:rPr>
        <w:t xml:space="preserve">, etc.), then there will only be a single intersection, and thus </w:t>
      </w:r>
      <w:proofErr w:type="spellStart"/>
      <w:r>
        <w:rPr>
          <w:rFonts w:eastAsiaTheme="minorEastAsia"/>
          <w:lang w:val="en-US"/>
        </w:rPr>
        <w:t>bistability</w:t>
      </w:r>
      <w:proofErr w:type="spellEnd"/>
      <w:r>
        <w:rPr>
          <w:rFonts w:eastAsiaTheme="minorEastAsia"/>
          <w:lang w:val="en-US"/>
        </w:rPr>
        <w:t xml:space="preserve"> will not be possible.</w:t>
      </w:r>
      <w:r w:rsidR="007717AE">
        <w:rPr>
          <w:rFonts w:eastAsiaTheme="minorEastAsia"/>
          <w:lang w:val="en-US"/>
        </w:rPr>
        <w:t xml:space="preserve"> </w:t>
      </w:r>
    </w:p>
    <w:p w14:paraId="40EB10E2" w14:textId="73E0C6F2" w:rsidR="00D90537" w:rsidRDefault="00D90537">
      <w:pPr>
        <w:rPr>
          <w:rFonts w:eastAsiaTheme="minorEastAsia"/>
          <w:lang w:val="en-US"/>
        </w:rPr>
      </w:pPr>
    </w:p>
    <w:p w14:paraId="113D14E6" w14:textId="6F576D14" w:rsidR="0056789D" w:rsidRDefault="0056789D">
      <w:pPr>
        <w:rPr>
          <w:rFonts w:eastAsiaTheme="minorEastAsia"/>
          <w:lang w:val="en-US"/>
        </w:rPr>
      </w:pPr>
    </w:p>
    <w:p w14:paraId="08009AF2" w14:textId="1A44E100" w:rsidR="0056789D" w:rsidRDefault="0056789D">
      <w:pPr>
        <w:rPr>
          <w:rFonts w:eastAsiaTheme="minorEastAsia"/>
          <w:lang w:val="en-US"/>
        </w:rPr>
      </w:pPr>
    </w:p>
    <w:p w14:paraId="5F78817C" w14:textId="2D0C4CA3" w:rsidR="0056789D" w:rsidRDefault="0056789D">
      <w:pPr>
        <w:rPr>
          <w:rFonts w:eastAsiaTheme="minorEastAsia"/>
          <w:lang w:val="en-US"/>
        </w:rPr>
      </w:pPr>
    </w:p>
    <w:p w14:paraId="4BE4D3D8" w14:textId="249FDC03" w:rsidR="0056789D" w:rsidRDefault="0056789D">
      <w:pPr>
        <w:rPr>
          <w:rFonts w:eastAsiaTheme="minorEastAsia"/>
          <w:lang w:val="en-US"/>
        </w:rPr>
      </w:pPr>
    </w:p>
    <w:p w14:paraId="23C83110" w14:textId="520F01B6" w:rsidR="0056789D" w:rsidRDefault="0056789D">
      <w:pPr>
        <w:rPr>
          <w:rFonts w:eastAsiaTheme="minorEastAsia"/>
          <w:lang w:val="en-US"/>
        </w:rPr>
      </w:pPr>
    </w:p>
    <w:p w14:paraId="24C18739" w14:textId="2F6D62F6" w:rsidR="0056789D" w:rsidRDefault="0056789D">
      <w:pPr>
        <w:rPr>
          <w:rFonts w:eastAsiaTheme="minorEastAsia"/>
          <w:lang w:val="en-US"/>
        </w:rPr>
      </w:pPr>
    </w:p>
    <w:p w14:paraId="127A3543" w14:textId="755A0029" w:rsidR="0056789D" w:rsidRDefault="0056789D">
      <w:pPr>
        <w:rPr>
          <w:rFonts w:eastAsiaTheme="minorEastAsia"/>
          <w:lang w:val="en-US"/>
        </w:rPr>
      </w:pPr>
    </w:p>
    <w:p w14:paraId="18C52746" w14:textId="5E805E00" w:rsidR="0056789D" w:rsidRDefault="0056789D">
      <w:pPr>
        <w:rPr>
          <w:rFonts w:eastAsiaTheme="minorEastAsia"/>
          <w:lang w:val="en-US"/>
        </w:rPr>
      </w:pPr>
    </w:p>
    <w:p w14:paraId="7DA32154" w14:textId="764292F7" w:rsidR="0056789D" w:rsidRDefault="0056789D">
      <w:pPr>
        <w:rPr>
          <w:rFonts w:eastAsiaTheme="minorEastAsia"/>
          <w:lang w:val="en-US"/>
        </w:rPr>
      </w:pPr>
    </w:p>
    <w:p w14:paraId="730D0CE2" w14:textId="56B41D61" w:rsidR="0056789D" w:rsidRDefault="0056789D">
      <w:pPr>
        <w:rPr>
          <w:rFonts w:eastAsiaTheme="minorEastAsia"/>
          <w:lang w:val="en-US"/>
        </w:rPr>
      </w:pPr>
    </w:p>
    <w:p w14:paraId="56D80600" w14:textId="386B2031" w:rsidR="0056789D" w:rsidRDefault="0056789D">
      <w:pPr>
        <w:rPr>
          <w:rFonts w:eastAsiaTheme="minorEastAsia"/>
          <w:lang w:val="en-US"/>
        </w:rPr>
      </w:pPr>
    </w:p>
    <w:p w14:paraId="00BECAC0" w14:textId="3274DE26" w:rsidR="0056789D" w:rsidRDefault="0056789D">
      <w:pPr>
        <w:rPr>
          <w:rFonts w:eastAsiaTheme="minorEastAsia"/>
          <w:lang w:val="en-US"/>
        </w:rPr>
      </w:pPr>
    </w:p>
    <w:p w14:paraId="487B2CB3" w14:textId="386EACA7" w:rsidR="0056789D" w:rsidRDefault="0056789D">
      <w:pPr>
        <w:rPr>
          <w:rFonts w:eastAsiaTheme="minorEastAsia"/>
          <w:lang w:val="en-US"/>
        </w:rPr>
      </w:pPr>
    </w:p>
    <w:p w14:paraId="08E247C1" w14:textId="6BE77CB8" w:rsidR="0056789D" w:rsidRDefault="0056789D">
      <w:pPr>
        <w:rPr>
          <w:rFonts w:eastAsiaTheme="minorEastAsia"/>
          <w:lang w:val="en-US"/>
        </w:rPr>
      </w:pPr>
    </w:p>
    <w:p w14:paraId="2AA8953B" w14:textId="77777777" w:rsidR="0056789D" w:rsidRDefault="0056789D">
      <w:pPr>
        <w:rPr>
          <w:rFonts w:eastAsiaTheme="minorEastAsia"/>
          <w:lang w:val="en-US"/>
        </w:rPr>
      </w:pPr>
    </w:p>
    <w:p w14:paraId="5E1A7591" w14:textId="43CE7AF4" w:rsidR="00D90537" w:rsidRDefault="00D90537">
      <w:pPr>
        <w:rPr>
          <w:rFonts w:eastAsiaTheme="minorEastAsia"/>
          <w:b/>
          <w:bCs/>
          <w:u w:val="single"/>
          <w:lang w:val="en-US"/>
        </w:rPr>
      </w:pPr>
      <w:r w:rsidRPr="00D90537">
        <w:rPr>
          <w:rFonts w:eastAsiaTheme="minorEastAsia"/>
          <w:b/>
          <w:bCs/>
          <w:u w:val="single"/>
          <w:lang w:val="en-US"/>
        </w:rPr>
        <w:lastRenderedPageBreak/>
        <w:t>Model 2</w:t>
      </w:r>
    </w:p>
    <w:p w14:paraId="634FB92E" w14:textId="3AFE7A26" w:rsidR="006A755D" w:rsidRDefault="006A755D">
      <w:pPr>
        <w:rPr>
          <w:rFonts w:eastAsiaTheme="minorEastAsia"/>
          <w:lang w:val="en-US"/>
        </w:rPr>
      </w:pPr>
      <w:r>
        <w:rPr>
          <w:rFonts w:eastAsiaTheme="minorEastAsia"/>
          <w:lang w:val="en-US"/>
        </w:rPr>
        <w:t>The first modification that we can make to the simple model is to strengthen self-stimulation</w:t>
      </w:r>
      <w:r w:rsidR="00D634CE">
        <w:rPr>
          <w:rFonts w:eastAsiaTheme="minorEastAsia"/>
          <w:lang w:val="en-US"/>
        </w:rPr>
        <w:t>, for example in the following way:</w:t>
      </w:r>
    </w:p>
    <w:p w14:paraId="6A160C98" w14:textId="3CBCF79F" w:rsidR="00D634CE" w:rsidRPr="004D470A" w:rsidRDefault="00322FC7" w:rsidP="00D634CE">
      <w:pPr>
        <w:rPr>
          <w:rFonts w:eastAsiaTheme="minorEastAsia"/>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den>
          </m:f>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ij</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m:t>
                  </m:r>
                </m:sub>
              </m:sSub>
            </m:den>
          </m:f>
          <m:r>
            <w:rPr>
              <w:rFonts w:ascii="Cambria Math" w:hAnsi="Cambria Math"/>
              <w:lang w:val="en-US"/>
            </w:rPr>
            <m:t xml:space="preserve">-m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m:oMathPara>
    </w:p>
    <w:p w14:paraId="6AEE09A5" w14:textId="77777777" w:rsidR="00D634CE" w:rsidRDefault="00D634CE" w:rsidP="00D634CE">
      <w:pPr>
        <w:rPr>
          <w:rFonts w:eastAsiaTheme="minorEastAsia"/>
          <w:lang w:val="en-US"/>
        </w:rPr>
      </w:pPr>
    </w:p>
    <w:p w14:paraId="4DC489BD" w14:textId="77777777" w:rsidR="00D634CE" w:rsidRDefault="00D634CE">
      <w:pPr>
        <w:rPr>
          <w:rFonts w:eastAsiaTheme="minorEastAsia"/>
          <w:lang w:val="en-US"/>
        </w:rPr>
      </w:pPr>
      <w:r>
        <w:rPr>
          <w:rFonts w:eastAsiaTheme="minorEastAsia"/>
          <w:lang w:val="en-US"/>
        </w:rPr>
        <w:t xml:space="preserve">The only change between model 1 and model 2 is the additional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oMath>
      <w:r>
        <w:rPr>
          <w:rFonts w:eastAsiaTheme="minorEastAsia"/>
          <w:lang w:val="en-US"/>
        </w:rPr>
        <w:t xml:space="preserve"> in front of the proliferation term. This changes the interpretation of the parameter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r>
        <w:rPr>
          <w:rFonts w:eastAsiaTheme="minorEastAsia"/>
          <w:lang w:val="en-US"/>
        </w:rPr>
        <w:t xml:space="preserve">. Whereas before,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r>
        <w:rPr>
          <w:rFonts w:eastAsiaTheme="minorEastAsia"/>
          <w:lang w:val="en-US"/>
        </w:rPr>
        <w:t xml:space="preserve"> had units of T cells/time, here it has the units of 1/time. </w:t>
      </w:r>
    </w:p>
    <w:p w14:paraId="762E205E" w14:textId="77777777" w:rsidR="00D634CE" w:rsidRDefault="00D634CE">
      <w:pPr>
        <w:rPr>
          <w:rFonts w:eastAsiaTheme="minorEastAsia"/>
          <w:lang w:val="en-US"/>
        </w:rPr>
      </w:pPr>
    </w:p>
    <w:p w14:paraId="4FA0E24A" w14:textId="25DBC272" w:rsidR="00D634CE" w:rsidRDefault="00D634CE">
      <w:pPr>
        <w:rPr>
          <w:rFonts w:eastAsiaTheme="minorEastAsia"/>
          <w:lang w:val="en-US"/>
        </w:rPr>
      </w:pPr>
      <w:r>
        <w:rPr>
          <w:rFonts w:eastAsiaTheme="minorEastAsia"/>
          <w:lang w:val="en-US"/>
        </w:rPr>
        <w:t xml:space="preserve">Again, we can nondimensionalize the model. I can still nondimensionalize the T cell populations as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r>
        <w:rPr>
          <w:rFonts w:eastAsiaTheme="minorEastAsia"/>
          <w:lang w:val="en-US"/>
        </w:rPr>
        <w:t xml:space="preserve"> and time as </w:t>
      </w:r>
      <m:oMath>
        <m:r>
          <w:rPr>
            <w:rFonts w:ascii="Cambria Math" w:eastAsiaTheme="minorEastAsia" w:hAnsi="Cambria Math"/>
            <w:lang w:val="en-US"/>
          </w:rPr>
          <m:t>τ=t m</m:t>
        </m:r>
      </m:oMath>
      <w:r>
        <w:rPr>
          <w:rFonts w:eastAsiaTheme="minorEastAsia"/>
          <w:lang w:val="en-US"/>
        </w:rPr>
        <w:t xml:space="preserve">, but my dimensionless parameters are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num>
          <m:den>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den>
        </m:f>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num>
          <m:den>
            <m:r>
              <w:rPr>
                <w:rFonts w:ascii="Cambria Math" w:eastAsiaTheme="minorEastAsia" w:hAnsi="Cambria Math"/>
                <w:lang w:val="en-US"/>
              </w:rPr>
              <m:t>m</m:t>
            </m:r>
          </m:den>
        </m:f>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ij</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ij</m:t>
                </m:r>
              </m:sub>
            </m:sSub>
          </m:num>
          <m:den>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den>
        </m:f>
        <m:r>
          <w:rPr>
            <w:rFonts w:ascii="Cambria Math" w:eastAsiaTheme="minorEastAsia" w:hAnsi="Cambria Math"/>
            <w:lang w:val="en-US"/>
          </w:rPr>
          <m:t>.</m:t>
        </m:r>
      </m:oMath>
      <w:r>
        <w:rPr>
          <w:rFonts w:eastAsiaTheme="minorEastAsia"/>
          <w:lang w:val="en-US"/>
        </w:rPr>
        <w:t xml:space="preserve"> Thus the comparison of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i</m:t>
            </m:r>
          </m:sub>
        </m:sSub>
      </m:oMath>
      <w:r>
        <w:rPr>
          <w:rFonts w:eastAsiaTheme="minorEastAsia"/>
          <w:lang w:val="en-US"/>
        </w:rPr>
        <w:t xml:space="preserve"> is not as direct as before, as the parameters have a different interpretation.</w:t>
      </w:r>
      <w:r w:rsidR="004005A1">
        <w:rPr>
          <w:rFonts w:eastAsiaTheme="minorEastAsia"/>
          <w:lang w:val="en-US"/>
        </w:rPr>
        <w:t xml:space="preserve"> The model is now</w:t>
      </w:r>
    </w:p>
    <w:p w14:paraId="16C0B324" w14:textId="511A8EB9" w:rsidR="004005A1" w:rsidRDefault="00322FC7" w:rsidP="004005A1">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num>
            <m:den>
              <m:r>
                <w:rPr>
                  <w:rFonts w:ascii="Cambria Math" w:eastAsiaTheme="minorEastAsia" w:hAnsi="Cambria Math"/>
                  <w:lang w:val="en-US"/>
                </w:rPr>
                <m:t>dτ</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i</m:t>
                  </m:r>
                </m:sub>
              </m:sSub>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i</m:t>
                  </m:r>
                </m:sub>
                <m:sup>
                  <m:r>
                    <w:rPr>
                      <w:rFonts w:ascii="Cambria Math" w:eastAsiaTheme="minorEastAsia" w:hAnsi="Cambria Math"/>
                      <w:lang w:val="en-US"/>
                    </w:rPr>
                    <m:t>2</m:t>
                  </m:r>
                </m:sup>
              </m:sSubSup>
            </m:num>
            <m:den>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den>
          </m:f>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ij</m:t>
                  </m:r>
                </m:sub>
              </m:sSub>
            </m:num>
            <m:den>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oMath>
      </m:oMathPara>
    </w:p>
    <w:p w14:paraId="7ABF44D6" w14:textId="77777777" w:rsidR="004005A1" w:rsidRDefault="004005A1">
      <w:pPr>
        <w:rPr>
          <w:rFonts w:eastAsiaTheme="minorEastAsia"/>
          <w:lang w:val="en-US"/>
        </w:rPr>
      </w:pPr>
    </w:p>
    <w:p w14:paraId="74ECE552" w14:textId="3F2677EB" w:rsidR="00D634CE" w:rsidRDefault="00D634CE">
      <w:pPr>
        <w:rPr>
          <w:rFonts w:eastAsiaTheme="minorEastAsia"/>
          <w:lang w:val="en-US"/>
        </w:rPr>
      </w:pPr>
    </w:p>
    <w:p w14:paraId="41D35966" w14:textId="333AD6ED" w:rsidR="00D634CE" w:rsidRDefault="00D634CE">
      <w:pPr>
        <w:rPr>
          <w:rFonts w:eastAsiaTheme="minorEastAsia"/>
          <w:lang w:val="en-US"/>
        </w:rPr>
      </w:pPr>
      <w:r>
        <w:rPr>
          <w:rFonts w:eastAsiaTheme="minorEastAsia"/>
          <w:lang w:val="en-US"/>
        </w:rPr>
        <w:t>Nevertheless, we can again examine the isoclines:</w:t>
      </w:r>
    </w:p>
    <w:p w14:paraId="73541B30" w14:textId="392596D1" w:rsidR="00D634CE" w:rsidRPr="002A59EE" w:rsidRDefault="00322FC7">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ij</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i</m:t>
                              </m:r>
                            </m:sub>
                          </m:sSub>
                          <m:r>
                            <w:rPr>
                              <w:rFonts w:ascii="Cambria Math" w:eastAsiaTheme="minorEastAsia" w:hAnsi="Cambria Math"/>
                              <w:lang w:val="en-US"/>
                            </w:rPr>
                            <m:t>-1</m:t>
                          </m:r>
                        </m:e>
                      </m:d>
                    </m:e>
                  </m:d>
                </m:e>
              </m:d>
            </m:num>
            <m:den>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e>
              </m: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e>
              </m:d>
            </m:den>
          </m:f>
        </m:oMath>
      </m:oMathPara>
    </w:p>
    <w:p w14:paraId="72179741" w14:textId="0113C060" w:rsidR="002A59EE" w:rsidRDefault="002A59EE">
      <w:pPr>
        <w:rPr>
          <w:rFonts w:eastAsiaTheme="minorEastAsia"/>
          <w:lang w:val="en-US"/>
        </w:rPr>
      </w:pPr>
      <w:proofErr w:type="gramStart"/>
      <w:r>
        <w:rPr>
          <w:rFonts w:eastAsiaTheme="minorEastAsia"/>
          <w:lang w:val="en-US"/>
        </w:rPr>
        <w:t>Again</w:t>
      </w:r>
      <w:proofErr w:type="gramEnd"/>
      <w:r>
        <w:rPr>
          <w:rFonts w:eastAsiaTheme="minorEastAsia"/>
          <w:lang w:val="en-US"/>
        </w:rPr>
        <w:t xml:space="preserve"> we see that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oMath>
      <w:r>
        <w:rPr>
          <w:rFonts w:eastAsiaTheme="minorEastAsia"/>
          <w:lang w:val="en-US"/>
        </w:rPr>
        <w:t xml:space="preserve"> for the denominator to be positive, and that this will guarantee that the numerator is positive as well. This suggests that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oMath>
      <w:r>
        <w:rPr>
          <w:rFonts w:eastAsiaTheme="minorEastAsia"/>
          <w:lang w:val="en-US"/>
        </w:rPr>
        <w:t xml:space="preserve"> should be a small number. </w:t>
      </w:r>
    </w:p>
    <w:p w14:paraId="6DC7CC75" w14:textId="24FB9D71" w:rsidR="002A59EE" w:rsidRDefault="002A59EE">
      <w:pPr>
        <w:rPr>
          <w:rFonts w:eastAsiaTheme="minorEastAsia"/>
          <w:lang w:val="en-US"/>
        </w:rPr>
      </w:pPr>
    </w:p>
    <w:p w14:paraId="63D3BD82" w14:textId="5220167E" w:rsidR="002A59EE" w:rsidRDefault="002A59EE">
      <w:pPr>
        <w:rPr>
          <w:rFonts w:eastAsiaTheme="minorEastAsia"/>
          <w:lang w:val="en-US"/>
        </w:rPr>
      </w:pPr>
      <w:r>
        <w:rPr>
          <w:rFonts w:eastAsiaTheme="minorEastAsia"/>
          <w:lang w:val="en-US"/>
        </w:rPr>
        <w:t>The shape of the isocline can be assessed from the derivativ</w:t>
      </w:r>
      <w:r w:rsidR="00D13B79">
        <w:rPr>
          <w:rFonts w:eastAsiaTheme="minorEastAsia"/>
          <w:lang w:val="en-US"/>
        </w:rPr>
        <w:t>e</w:t>
      </w:r>
      <w:r>
        <w:rPr>
          <w:rFonts w:eastAsiaTheme="minorEastAsia"/>
          <w:lang w:val="en-US"/>
        </w:rPr>
        <w:t>:</w:t>
      </w:r>
    </w:p>
    <w:p w14:paraId="09D761A6" w14:textId="4FC00371" w:rsidR="002A59EE" w:rsidRPr="002A59EE" w:rsidRDefault="00322FC7">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m:t>
                  </m:r>
                </m:sub>
              </m:sSub>
            </m:num>
            <m:den>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den>
          </m:f>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r>
                            <w:rPr>
                              <w:rFonts w:ascii="Cambria Math" w:eastAsiaTheme="minorEastAsia" w:hAnsi="Cambria Math"/>
                              <w:lang w:val="en-US"/>
                            </w:rPr>
                            <m:t>-1</m:t>
                          </m:r>
                        </m:e>
                      </m:d>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e>
                  </m:d>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i</m:t>
                      </m:r>
                    </m:sub>
                  </m:sSub>
                </m:e>
              </m:d>
            </m:num>
            <m:den>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e>
                  </m:d>
                </m:e>
                <m:sup>
                  <m:r>
                    <w:rPr>
                      <w:rFonts w:ascii="Cambria Math" w:eastAsiaTheme="minorEastAsia" w:hAnsi="Cambria Math"/>
                      <w:lang w:val="en-US"/>
                    </w:rPr>
                    <m:t>2</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e>
                  </m:d>
                </m:e>
                <m:sup>
                  <m:r>
                    <w:rPr>
                      <w:rFonts w:ascii="Cambria Math" w:eastAsiaTheme="minorEastAsia" w:hAnsi="Cambria Math"/>
                      <w:lang w:val="en-US"/>
                    </w:rPr>
                    <m:t>2</m:t>
                  </m:r>
                </m:sup>
              </m:sSup>
            </m:den>
          </m:f>
        </m:oMath>
      </m:oMathPara>
    </w:p>
    <w:p w14:paraId="1450F71F" w14:textId="1D035F56" w:rsidR="002A59EE" w:rsidRDefault="002A59EE">
      <w:pPr>
        <w:rPr>
          <w:rFonts w:eastAsiaTheme="minorEastAsia"/>
          <w:lang w:val="en-US"/>
        </w:rPr>
      </w:pPr>
      <w:r>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r>
          <w:rPr>
            <w:rFonts w:ascii="Cambria Math" w:eastAsiaTheme="minorEastAsia" w:hAnsi="Cambria Math"/>
            <w:lang w:val="en-US"/>
          </w:rPr>
          <m:t>&gt;1</m:t>
        </m:r>
      </m:oMath>
      <w:r>
        <w:rPr>
          <w:rFonts w:eastAsiaTheme="minorEastAsia"/>
          <w:lang w:val="en-US"/>
        </w:rPr>
        <w:t xml:space="preserve">, then this slope is always positive. However, that doesn’t make a lot of sense since that would require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oMath>
      <w:r>
        <w:rPr>
          <w:rFonts w:eastAsiaTheme="minorEastAsia"/>
          <w:lang w:val="en-US"/>
        </w:rPr>
        <w:t xml:space="preserve"> for a positive value for the isocline. If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r>
          <w:rPr>
            <w:rFonts w:ascii="Cambria Math" w:eastAsiaTheme="minorEastAsia" w:hAnsi="Cambria Math"/>
            <w:lang w:val="en-US"/>
          </w:rPr>
          <m:t>&lt;1</m:t>
        </m:r>
      </m:oMath>
      <w:r>
        <w:rPr>
          <w:rFonts w:eastAsiaTheme="minorEastAsia"/>
          <w:lang w:val="en-US"/>
        </w:rPr>
        <w:t xml:space="preserve"> then it is possible for the slope to be zero (i.e., for the isocline to change directions). This occurs when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num>
          <m:den>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den>
        </m:f>
      </m:oMath>
      <w:r>
        <w:rPr>
          <w:rFonts w:eastAsiaTheme="minorEastAsia"/>
          <w:lang w:val="en-US"/>
        </w:rPr>
        <w:t xml:space="preserve">. This is actually important because such unimodality creates more opportunities for </w:t>
      </w:r>
      <w:proofErr w:type="spellStart"/>
      <w:r>
        <w:rPr>
          <w:rFonts w:eastAsiaTheme="minorEastAsia"/>
          <w:lang w:val="en-US"/>
        </w:rPr>
        <w:t>multistability</w:t>
      </w:r>
      <w:proofErr w:type="spellEnd"/>
      <w:r>
        <w:rPr>
          <w:rFonts w:eastAsiaTheme="minorEastAsia"/>
          <w:lang w:val="en-US"/>
        </w:rPr>
        <w:t xml:space="preserve">, as two </w:t>
      </w:r>
      <w:r w:rsidR="00D13B79">
        <w:rPr>
          <w:rFonts w:eastAsiaTheme="minorEastAsia"/>
          <w:lang w:val="en-US"/>
        </w:rPr>
        <w:t>unimodal curves</w:t>
      </w:r>
      <w:r>
        <w:rPr>
          <w:rFonts w:eastAsiaTheme="minorEastAsia"/>
          <w:lang w:val="en-US"/>
        </w:rPr>
        <w:t xml:space="preserve"> can intersect in as many as four points</w:t>
      </w:r>
      <w:r w:rsidR="00D13B79">
        <w:rPr>
          <w:rFonts w:eastAsiaTheme="minorEastAsia"/>
          <w:lang w:val="en-US"/>
        </w:rPr>
        <w:t xml:space="preserve">. </w:t>
      </w:r>
    </w:p>
    <w:p w14:paraId="256D2C61" w14:textId="684C3950" w:rsidR="00D13B79" w:rsidRDefault="00D13B79">
      <w:pPr>
        <w:rPr>
          <w:rFonts w:eastAsiaTheme="minorEastAsia"/>
          <w:lang w:val="en-US"/>
        </w:rPr>
      </w:pPr>
    </w:p>
    <w:p w14:paraId="4F3F951E" w14:textId="52126C64" w:rsidR="00D13B79" w:rsidRDefault="00D13B79">
      <w:pPr>
        <w:rPr>
          <w:rFonts w:eastAsiaTheme="minorEastAsia"/>
          <w:lang w:val="en-US"/>
        </w:rPr>
      </w:pPr>
      <w:r>
        <w:rPr>
          <w:rFonts w:eastAsiaTheme="minorEastAsia"/>
          <w:lang w:val="en-US"/>
        </w:rPr>
        <w:t xml:space="preserve">However, numerical simulation of a feasible set of parameters that produce multiple equilibria show that the </w:t>
      </w:r>
      <w:proofErr w:type="spellStart"/>
      <w:r>
        <w:rPr>
          <w:rFonts w:eastAsiaTheme="minorEastAsia"/>
          <w:lang w:val="en-US"/>
        </w:rPr>
        <w:t>multistability</w:t>
      </w:r>
      <w:proofErr w:type="spellEnd"/>
      <w:r>
        <w:rPr>
          <w:rFonts w:eastAsiaTheme="minorEastAsia"/>
          <w:lang w:val="en-US"/>
        </w:rPr>
        <w:t xml:space="preserve"> </w:t>
      </w:r>
      <w:r w:rsidR="0068306A">
        <w:rPr>
          <w:rFonts w:eastAsiaTheme="minorEastAsia"/>
          <w:lang w:val="en-US"/>
        </w:rPr>
        <w:t xml:space="preserve">of the appropriate type (e.g., </w:t>
      </w:r>
      <w:proofErr w:type="spellStart"/>
      <w:r w:rsidR="0068306A">
        <w:rPr>
          <w:rFonts w:eastAsiaTheme="minorEastAsia"/>
          <w:lang w:val="en-US"/>
        </w:rPr>
        <w:t>bistability</w:t>
      </w:r>
      <w:proofErr w:type="spellEnd"/>
      <w:r w:rsidR="0068306A">
        <w:rPr>
          <w:rFonts w:eastAsiaTheme="minorEastAsia"/>
          <w:lang w:val="en-US"/>
        </w:rPr>
        <w:t xml:space="preserve"> of polarized equilibria) appears unlikely</w:t>
      </w:r>
      <w:r>
        <w:rPr>
          <w:rFonts w:eastAsiaTheme="minorEastAsia"/>
          <w:lang w:val="en-US"/>
        </w:rPr>
        <w:t xml:space="preserve">. Given </w:t>
      </w:r>
      <w:r w:rsidR="0068306A">
        <w:rPr>
          <w:rFonts w:eastAsiaTheme="minorEastAsia"/>
          <w:lang w:val="en-US"/>
        </w:rPr>
        <w:t>this set of</w:t>
      </w:r>
      <w:r>
        <w:rPr>
          <w:rFonts w:eastAsiaTheme="minorEastAsia"/>
          <w:lang w:val="en-US"/>
        </w:rPr>
        <w:t xml:space="preserve"> parameters </w:t>
      </w:r>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2</m:t>
                </m:r>
              </m:sub>
            </m:sSub>
            <m:r>
              <w:rPr>
                <w:rFonts w:ascii="Cambria Math" w:eastAsiaTheme="minorEastAsia" w:hAnsi="Cambria Math"/>
                <w:lang w:val="en-US"/>
              </w:rPr>
              <m:t xml:space="preserve">=0.05, </m:t>
            </m:r>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21</m:t>
                </m:r>
              </m:sub>
            </m:sSub>
            <m:r>
              <w:rPr>
                <w:rFonts w:ascii="Cambria Math" w:eastAsiaTheme="minorEastAsia" w:hAnsi="Cambria Math"/>
                <w:lang w:val="en-US"/>
              </w:rPr>
              <m:t xml:space="preserve">=1, </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2</m:t>
                </m:r>
              </m:sub>
            </m:sSub>
            <m:r>
              <w:rPr>
                <w:rFonts w:ascii="Cambria Math" w:eastAsiaTheme="minorEastAsia" w:hAnsi="Cambria Math"/>
                <w:lang w:val="en-US"/>
              </w:rPr>
              <m:t>=2</m:t>
            </m:r>
          </m:e>
        </m:d>
      </m:oMath>
      <w:r>
        <w:rPr>
          <w:rFonts w:eastAsiaTheme="minorEastAsia"/>
          <w:lang w:val="en-US"/>
        </w:rPr>
        <w:t>, the isoclines</w:t>
      </w:r>
      <w:r w:rsidR="0068306A">
        <w:rPr>
          <w:rFonts w:eastAsiaTheme="minorEastAsia"/>
          <w:lang w:val="en-US"/>
        </w:rPr>
        <w:t>, equilibria</w:t>
      </w:r>
      <w:r>
        <w:rPr>
          <w:rFonts w:eastAsiaTheme="minorEastAsia"/>
          <w:lang w:val="en-US"/>
        </w:rPr>
        <w:t xml:space="preserve"> and </w:t>
      </w:r>
      <w:r w:rsidR="0068306A">
        <w:rPr>
          <w:rFonts w:eastAsiaTheme="minorEastAsia"/>
          <w:lang w:val="en-US"/>
        </w:rPr>
        <w:t xml:space="preserve">vector field are shown below. Here there are three possible equilibria, two of which are unstable (open circles). The stable equilibrium represents a low co-expression equilibrium. </w:t>
      </w:r>
      <w:r w:rsidR="00364D25">
        <w:rPr>
          <w:rFonts w:eastAsiaTheme="minorEastAsia"/>
          <w:lang w:val="en-US"/>
        </w:rPr>
        <w:t>If there is any initial polarization in the response, the system can end up in a dynamical regime where one response blows up to infinity. Essentially, the self-promotion loop overwhelms cross-inhibition.</w:t>
      </w:r>
    </w:p>
    <w:p w14:paraId="559012CA" w14:textId="27D52474" w:rsidR="0068306A" w:rsidRDefault="0068306A">
      <w:pPr>
        <w:rPr>
          <w:rFonts w:eastAsiaTheme="minorEastAsia"/>
          <w:lang w:val="en-US"/>
        </w:rPr>
      </w:pPr>
      <w:r w:rsidRPr="0068306A">
        <w:rPr>
          <w:rFonts w:eastAsiaTheme="minorEastAsia"/>
          <w:noProof/>
          <w:lang w:val="en-US"/>
        </w:rPr>
        <w:lastRenderedPageBreak/>
        <w:drawing>
          <wp:inline distT="0" distB="0" distL="0" distR="0" wp14:anchorId="1A8E8724" wp14:editId="1CAA9978">
            <wp:extent cx="5943600" cy="2888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88615"/>
                    </a:xfrm>
                    <a:prstGeom prst="rect">
                      <a:avLst/>
                    </a:prstGeom>
                  </pic:spPr>
                </pic:pic>
              </a:graphicData>
            </a:graphic>
          </wp:inline>
        </w:drawing>
      </w:r>
    </w:p>
    <w:p w14:paraId="36E42DBD" w14:textId="6ABB7CF4" w:rsidR="00364D25" w:rsidRDefault="00364D25">
      <w:pPr>
        <w:rPr>
          <w:rFonts w:eastAsiaTheme="minorEastAsia"/>
          <w:lang w:val="en-US"/>
        </w:rPr>
      </w:pPr>
    </w:p>
    <w:p w14:paraId="35B59FEA" w14:textId="650266B4" w:rsidR="00364D25" w:rsidRDefault="00364D25">
      <w:pPr>
        <w:rPr>
          <w:rFonts w:eastAsiaTheme="minorEastAsia"/>
          <w:lang w:val="en-US"/>
        </w:rPr>
      </w:pPr>
      <w:r>
        <w:rPr>
          <w:rFonts w:eastAsiaTheme="minorEastAsia"/>
          <w:lang w:val="en-US"/>
        </w:rPr>
        <w:t xml:space="preserve">By increasing the value of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2</m:t>
            </m:r>
          </m:sub>
        </m:sSub>
        <m:r>
          <w:rPr>
            <w:rFonts w:ascii="Cambria Math" w:eastAsiaTheme="minorEastAsia" w:hAnsi="Cambria Math"/>
            <w:lang w:val="en-US"/>
          </w:rPr>
          <m:t>=5</m:t>
        </m:r>
      </m:oMath>
      <w:r>
        <w:rPr>
          <w:rFonts w:eastAsiaTheme="minorEastAsia"/>
          <w:lang w:val="en-US"/>
        </w:rPr>
        <w:t>, you can increase the number of equilibria, but you still have only one that is stable, representing low co-expression and then a tendency for the system to explode towards an accelerating, unrestrained Th1 or Th2 response.</w:t>
      </w:r>
    </w:p>
    <w:p w14:paraId="282AE581" w14:textId="64DAB6B2" w:rsidR="00364D25" w:rsidRDefault="00364D25">
      <w:pPr>
        <w:rPr>
          <w:rFonts w:eastAsiaTheme="minorEastAsia"/>
          <w:lang w:val="en-US"/>
        </w:rPr>
      </w:pPr>
      <w:r w:rsidRPr="00364D25">
        <w:rPr>
          <w:rFonts w:eastAsiaTheme="minorEastAsia"/>
          <w:noProof/>
          <w:lang w:val="en-US"/>
        </w:rPr>
        <w:drawing>
          <wp:inline distT="0" distB="0" distL="0" distR="0" wp14:anchorId="7CCF2DC8" wp14:editId="57C96955">
            <wp:extent cx="5943600" cy="2888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88615"/>
                    </a:xfrm>
                    <a:prstGeom prst="rect">
                      <a:avLst/>
                    </a:prstGeom>
                  </pic:spPr>
                </pic:pic>
              </a:graphicData>
            </a:graphic>
          </wp:inline>
        </w:drawing>
      </w:r>
    </w:p>
    <w:p w14:paraId="359FBC2E" w14:textId="3A035B9E" w:rsidR="00364D25" w:rsidRDefault="00364D25">
      <w:pPr>
        <w:rPr>
          <w:rFonts w:eastAsiaTheme="minorEastAsia"/>
          <w:lang w:val="en-US"/>
        </w:rPr>
      </w:pPr>
    </w:p>
    <w:p w14:paraId="2DDE92DE" w14:textId="611530DC" w:rsidR="00364D25" w:rsidRDefault="00581150">
      <w:pPr>
        <w:rPr>
          <w:rFonts w:eastAsiaTheme="minorEastAsia"/>
          <w:lang w:val="en-US"/>
        </w:rPr>
      </w:pPr>
      <w:r>
        <w:rPr>
          <w:rFonts w:eastAsiaTheme="minorEastAsia"/>
          <w:lang w:val="en-US"/>
        </w:rPr>
        <w:t xml:space="preserve">Having explored this model more, it is clear that </w:t>
      </w:r>
      <w:r w:rsidR="0056789D">
        <w:rPr>
          <w:rFonts w:eastAsiaTheme="minorEastAsia"/>
          <w:lang w:val="en-US"/>
        </w:rPr>
        <w:t>can have 1, 3, or 5 equilibria. If the number of equilibria is 3 or 5, the low co-expression equilibrium will be stable, and all others will be unstable; if there is only a single equilibrium, it will be an unstable high co-expression equilibrium. Thus, the general behavior of this system is biologically implausible: runaway proliferation of either a Th1 or Th2 response</w:t>
      </w:r>
      <w:r w:rsidR="00364D25">
        <w:rPr>
          <w:rFonts w:eastAsiaTheme="minorEastAsia"/>
          <w:lang w:val="en-US"/>
        </w:rPr>
        <w:t>.</w:t>
      </w:r>
    </w:p>
    <w:p w14:paraId="4D2CFDBD" w14:textId="05005552" w:rsidR="00364D25" w:rsidRDefault="00364D25">
      <w:pPr>
        <w:rPr>
          <w:rFonts w:eastAsiaTheme="minorEastAsia"/>
          <w:lang w:val="en-US"/>
        </w:rPr>
      </w:pPr>
    </w:p>
    <w:p w14:paraId="78D5E5C1" w14:textId="40DC1B71" w:rsidR="0056789D" w:rsidRDefault="0056789D">
      <w:pPr>
        <w:rPr>
          <w:rFonts w:eastAsiaTheme="minorEastAsia"/>
          <w:lang w:val="en-US"/>
        </w:rPr>
      </w:pPr>
    </w:p>
    <w:p w14:paraId="5715A17B" w14:textId="77777777" w:rsidR="0056789D" w:rsidRDefault="0056789D">
      <w:pPr>
        <w:rPr>
          <w:rFonts w:eastAsiaTheme="minorEastAsia"/>
          <w:lang w:val="en-US"/>
        </w:rPr>
      </w:pPr>
    </w:p>
    <w:p w14:paraId="2648B1BA" w14:textId="7A4ACDEB" w:rsidR="00364D25" w:rsidRDefault="00364D25">
      <w:pPr>
        <w:rPr>
          <w:rFonts w:eastAsiaTheme="minorEastAsia"/>
          <w:lang w:val="en-US"/>
        </w:rPr>
      </w:pPr>
      <w:r>
        <w:rPr>
          <w:rFonts w:eastAsiaTheme="minorEastAsia"/>
          <w:b/>
          <w:bCs/>
          <w:u w:val="single"/>
          <w:lang w:val="en-US"/>
        </w:rPr>
        <w:lastRenderedPageBreak/>
        <w:t>Model 3</w:t>
      </w:r>
    </w:p>
    <w:p w14:paraId="22CAA290" w14:textId="0F1683E7" w:rsidR="00364D25" w:rsidRDefault="00364D25">
      <w:pPr>
        <w:rPr>
          <w:rFonts w:eastAsiaTheme="minorEastAsia"/>
          <w:lang w:val="en-US"/>
        </w:rPr>
      </w:pPr>
      <w:r>
        <w:rPr>
          <w:rFonts w:eastAsiaTheme="minorEastAsia"/>
          <w:lang w:val="en-US"/>
        </w:rPr>
        <w:t xml:space="preserve">Here, I switch the self-promotion to a Hill function with an exponent of 2, which should promote a more switch-like behavior for the system. This exponent is supported by previous work suggests that cytokine-mediated self-promotion has a Hill exponent of two (both in Andy Yates’s work and in Ed’s paper). The model for the Th cell population becomes: </w:t>
      </w:r>
    </w:p>
    <w:p w14:paraId="340CCF81" w14:textId="2288546C" w:rsidR="00364D25" w:rsidRPr="004D470A" w:rsidRDefault="00322FC7" w:rsidP="00364D25">
      <w:pPr>
        <w:rPr>
          <w:rFonts w:eastAsiaTheme="minorEastAsia"/>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2</m:t>
                  </m:r>
                </m:sup>
              </m:sSubSup>
            </m:num>
            <m:den>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i</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2</m:t>
                  </m:r>
                </m:sup>
              </m:sSubSup>
            </m:den>
          </m:f>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ij</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m:t>
                  </m:r>
                </m:sub>
              </m:sSub>
            </m:den>
          </m:f>
          <m:r>
            <w:rPr>
              <w:rFonts w:ascii="Cambria Math" w:hAnsi="Cambria Math"/>
              <w:lang w:val="en-US"/>
            </w:rPr>
            <m:t xml:space="preserve">-m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m:oMathPara>
    </w:p>
    <w:p w14:paraId="6A815D81" w14:textId="77777777" w:rsidR="00364D25" w:rsidRDefault="00364D25" w:rsidP="00364D25">
      <w:pPr>
        <w:rPr>
          <w:rFonts w:eastAsiaTheme="minorEastAsia"/>
          <w:lang w:val="en-US"/>
        </w:rPr>
      </w:pPr>
    </w:p>
    <w:p w14:paraId="3DB338D6" w14:textId="4DCB6424" w:rsidR="00364D25" w:rsidRDefault="00364D25" w:rsidP="00364D25">
      <w:pPr>
        <w:rPr>
          <w:rFonts w:eastAsiaTheme="minorEastAsia"/>
          <w:lang w:val="en-US"/>
        </w:rPr>
      </w:pPr>
      <w:r>
        <w:rPr>
          <w:rFonts w:eastAsiaTheme="minorEastAsia"/>
          <w:lang w:val="en-US"/>
        </w:rPr>
        <w:t xml:space="preserve">This model can be nondimensionalized identically to model 1, with the same interpretations of the parameters.  </w:t>
      </w:r>
    </w:p>
    <w:p w14:paraId="0F4740D8" w14:textId="37FA524B" w:rsidR="004005A1" w:rsidRPr="004005A1" w:rsidRDefault="00322FC7" w:rsidP="004005A1">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num>
            <m:den>
              <m:r>
                <w:rPr>
                  <w:rFonts w:ascii="Cambria Math" w:eastAsiaTheme="minorEastAsia" w:hAnsi="Cambria Math"/>
                  <w:lang w:val="en-US"/>
                </w:rPr>
                <m:t>dτ</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i</m:t>
                  </m:r>
                </m:sub>
              </m:sSub>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i</m:t>
                  </m:r>
                </m:sub>
                <m:sup>
                  <m:r>
                    <w:rPr>
                      <w:rFonts w:ascii="Cambria Math" w:eastAsiaTheme="minorEastAsia" w:hAnsi="Cambria Math"/>
                      <w:lang w:val="en-US"/>
                    </w:rPr>
                    <m:t>2</m:t>
                  </m:r>
                </m:sup>
              </m:sSubSup>
            </m:num>
            <m:den>
              <m:r>
                <w:rPr>
                  <w:rFonts w:ascii="Cambria Math" w:eastAsiaTheme="minorEastAsia" w:hAnsi="Cambria Math"/>
                  <w:lang w:val="en-US"/>
                </w:rPr>
                <m:t>1+</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i</m:t>
                  </m:r>
                </m:sub>
                <m:sup>
                  <m:r>
                    <w:rPr>
                      <w:rFonts w:ascii="Cambria Math" w:eastAsiaTheme="minorEastAsia" w:hAnsi="Cambria Math"/>
                      <w:lang w:val="en-US"/>
                    </w:rPr>
                    <m:t>2</m:t>
                  </m:r>
                </m:sup>
              </m:sSubSup>
            </m:den>
          </m:f>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ij</m:t>
                  </m:r>
                </m:sub>
              </m:sSub>
            </m:num>
            <m:den>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oMath>
      </m:oMathPara>
    </w:p>
    <w:p w14:paraId="1933D434" w14:textId="06CF67B0" w:rsidR="004005A1" w:rsidRDefault="004005A1" w:rsidP="004005A1">
      <w:pPr>
        <w:rPr>
          <w:rFonts w:eastAsiaTheme="minorEastAsia"/>
          <w:lang w:val="en-US"/>
        </w:rPr>
      </w:pPr>
      <w:r>
        <w:rPr>
          <w:rFonts w:eastAsiaTheme="minorEastAsia"/>
          <w:lang w:val="en-US"/>
        </w:rPr>
        <w:t>The isoclines are</w:t>
      </w:r>
    </w:p>
    <w:p w14:paraId="5DC97EA3" w14:textId="21D3CDF6" w:rsidR="004005A1" w:rsidRPr="004005A1" w:rsidRDefault="00322FC7" w:rsidP="004005A1">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12</m:t>
                  </m:r>
                </m:sub>
              </m:sSub>
              <m:d>
                <m:dPr>
                  <m:ctrlPr>
                    <w:rPr>
                      <w:rFonts w:ascii="Cambria Math" w:eastAsiaTheme="minorEastAsia" w:hAnsi="Cambria Math"/>
                      <w:i/>
                      <w:lang w:val="en-US"/>
                    </w:rPr>
                  </m:ctrlPr>
                </m:dPr>
                <m:e>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i</m:t>
                      </m:r>
                    </m:sub>
                    <m:sup>
                      <m:r>
                        <w:rPr>
                          <w:rFonts w:ascii="Cambria Math" w:eastAsiaTheme="minorEastAsia" w:hAnsi="Cambria Math"/>
                          <w:lang w:val="en-US"/>
                        </w:rPr>
                        <m:t>3</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i</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i</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e>
              </m:d>
            </m:num>
            <m:den>
              <m:d>
                <m:dPr>
                  <m:ctrlPr>
                    <w:rPr>
                      <w:rFonts w:ascii="Cambria Math" w:eastAsiaTheme="minorEastAsia" w:hAnsi="Cambria Math"/>
                      <w:i/>
                      <w:lang w:val="en-US"/>
                    </w:rPr>
                  </m:ctrlPr>
                </m:dPr>
                <m:e>
                  <m:r>
                    <w:rPr>
                      <w:rFonts w:ascii="Cambria Math" w:eastAsiaTheme="minorEastAsia" w:hAnsi="Cambria Math"/>
                      <w:lang w:val="en-US"/>
                    </w:rPr>
                    <m:t>1+</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i</m:t>
                      </m:r>
                    </m:sub>
                    <m:sup>
                      <m:r>
                        <w:rPr>
                          <w:rFonts w:ascii="Cambria Math" w:eastAsiaTheme="minorEastAsia" w:hAnsi="Cambria Math"/>
                          <w:lang w:val="en-US"/>
                        </w:rPr>
                        <m:t>2</m:t>
                      </m:r>
                    </m:sup>
                  </m:sSubSup>
                </m:e>
              </m: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e>
              </m:d>
            </m:den>
          </m:f>
        </m:oMath>
      </m:oMathPara>
    </w:p>
    <w:p w14:paraId="55910CC4" w14:textId="3E5811C9" w:rsidR="004005A1" w:rsidRDefault="004005A1" w:rsidP="004005A1">
      <w:pPr>
        <w:rPr>
          <w:rFonts w:eastAsiaTheme="minorEastAsia"/>
          <w:lang w:val="en-US"/>
        </w:rPr>
      </w:pPr>
      <w:r>
        <w:rPr>
          <w:rFonts w:eastAsiaTheme="minorEastAsia"/>
          <w:lang w:val="en-US"/>
        </w:rPr>
        <w:t xml:space="preserve">Again, </w:t>
      </w:r>
      <w:proofErr w:type="spellStart"/>
      <w:r>
        <w:rPr>
          <w:rFonts w:eastAsiaTheme="minorEastAsia"/>
          <w:lang w:val="en-US"/>
        </w:rPr>
        <w:t>multistability</w:t>
      </w:r>
      <w:proofErr w:type="spellEnd"/>
      <w:r>
        <w:rPr>
          <w:rFonts w:eastAsiaTheme="minorEastAsia"/>
          <w:lang w:val="en-US"/>
        </w:rPr>
        <w:t xml:space="preserve"> is facilitated by having the slope of the isoclines change sign. Taking the derivative of the isocline with respect to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oMath>
      <w:r>
        <w:rPr>
          <w:rFonts w:eastAsiaTheme="minorEastAsia"/>
          <w:lang w:val="en-US"/>
        </w:rPr>
        <w:t>:</w:t>
      </w:r>
    </w:p>
    <w:p w14:paraId="53AF24CF" w14:textId="48E5C81A" w:rsidR="004005A1" w:rsidRPr="004005A1" w:rsidRDefault="00322FC7" w:rsidP="004005A1">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m:t>
                  </m:r>
                </m:sub>
              </m:sSub>
            </m:num>
            <m:den>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den>
          </m:f>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i</m:t>
                          </m:r>
                        </m:sub>
                        <m:sup>
                          <m:r>
                            <w:rPr>
                              <w:rFonts w:ascii="Cambria Math" w:eastAsiaTheme="minorEastAsia" w:hAnsi="Cambria Math"/>
                              <w:lang w:val="en-US"/>
                            </w:rPr>
                            <m:t>3</m:t>
                          </m:r>
                        </m:sup>
                      </m:sSub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e>
                  </m:d>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i</m:t>
                      </m:r>
                    </m:sub>
                  </m:sSub>
                </m:e>
              </m:d>
            </m:num>
            <m:den>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i</m:t>
                          </m:r>
                        </m:sub>
                        <m:sup>
                          <m:r>
                            <w:rPr>
                              <w:rFonts w:ascii="Cambria Math" w:eastAsiaTheme="minorEastAsia" w:hAnsi="Cambria Math"/>
                              <w:lang w:val="en-US"/>
                            </w:rPr>
                            <m:t>2</m:t>
                          </m:r>
                        </m:sup>
                      </m:sSubSup>
                    </m:e>
                  </m:d>
                </m:e>
                <m:sup>
                  <m:r>
                    <w:rPr>
                      <w:rFonts w:ascii="Cambria Math" w:eastAsiaTheme="minorEastAsia" w:hAnsi="Cambria Math"/>
                      <w:lang w:val="en-US"/>
                    </w:rPr>
                    <m:t>2</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e>
                  </m:d>
                </m:e>
                <m:sup>
                  <m:r>
                    <w:rPr>
                      <w:rFonts w:ascii="Cambria Math" w:eastAsiaTheme="minorEastAsia" w:hAnsi="Cambria Math"/>
                      <w:lang w:val="en-US"/>
                    </w:rPr>
                    <m:t>2</m:t>
                  </m:r>
                </m:sup>
              </m:sSup>
            </m:den>
          </m:f>
        </m:oMath>
      </m:oMathPara>
    </w:p>
    <w:p w14:paraId="323A6543" w14:textId="64C495DF" w:rsidR="004005A1" w:rsidRDefault="004005A1" w:rsidP="004005A1">
      <w:pPr>
        <w:rPr>
          <w:rFonts w:eastAsiaTheme="minorEastAsia"/>
          <w:lang w:val="en-US"/>
        </w:rPr>
      </w:pPr>
      <w:r>
        <w:rPr>
          <w:rFonts w:eastAsiaTheme="minorEastAsia"/>
          <w:lang w:val="en-US"/>
        </w:rPr>
        <w:t xml:space="preserve">The slope will change signs when the term in the parentheses in the numerator is zero, which depends only on the value of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oMath>
      <w:r>
        <w:rPr>
          <w:rFonts w:eastAsiaTheme="minorEastAsia"/>
          <w:lang w:val="en-US"/>
        </w:rPr>
        <w:t xml:space="preserve">. In particular, the solutions of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i</m:t>
            </m:r>
          </m:sub>
          <m:sup>
            <m:r>
              <w:rPr>
                <w:rFonts w:ascii="Cambria Math" w:eastAsiaTheme="minorEastAsia" w:hAnsi="Cambria Math"/>
                <w:lang w:val="en-US"/>
              </w:rPr>
              <m:t>3</m:t>
            </m:r>
          </m:sup>
        </m:sSub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r>
          <w:rPr>
            <w:rFonts w:ascii="Cambria Math" w:eastAsiaTheme="minorEastAsia" w:hAnsi="Cambria Math"/>
            <w:lang w:val="en-US"/>
          </w:rPr>
          <m:t>=0</m:t>
        </m:r>
      </m:oMath>
      <w:r>
        <w:rPr>
          <w:rFonts w:eastAsiaTheme="minorEastAsia"/>
          <w:lang w:val="en-US"/>
        </w:rPr>
        <w:t xml:space="preserve"> are only real if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oMath>
      <w:r>
        <w:rPr>
          <w:rFonts w:eastAsiaTheme="minorEastAsia"/>
          <w:lang w:val="en-US"/>
        </w:rPr>
        <w:t xml:space="preserve"> is small (in particular, it must be less than 0.2). Thus, if baseline stimulation is too large, the sign of the slope will be constant</w:t>
      </w:r>
      <w:r w:rsidR="001B1BD2">
        <w:rPr>
          <w:rFonts w:eastAsiaTheme="minorEastAsia"/>
          <w:lang w:val="en-US"/>
        </w:rPr>
        <w:t xml:space="preserve">. However, if it is less than this value, there are multiple possible places where the slope can change sign (because the function is cubic). </w:t>
      </w:r>
    </w:p>
    <w:p w14:paraId="2E7DAA4D" w14:textId="25FB22AB" w:rsidR="001B1BD2" w:rsidRDefault="001B1BD2" w:rsidP="004005A1">
      <w:pPr>
        <w:rPr>
          <w:rFonts w:eastAsiaTheme="minorEastAsia"/>
          <w:lang w:val="en-US"/>
        </w:rPr>
      </w:pPr>
    </w:p>
    <w:p w14:paraId="2E6DB3AB" w14:textId="2E9CB2D2" w:rsidR="001B1BD2" w:rsidRDefault="001B1BD2" w:rsidP="004005A1">
      <w:pPr>
        <w:rPr>
          <w:rFonts w:eastAsiaTheme="minorEastAsia"/>
          <w:lang w:val="en-US"/>
        </w:rPr>
      </w:pPr>
      <w:r>
        <w:rPr>
          <w:rFonts w:eastAsiaTheme="minorEastAsia"/>
          <w:lang w:val="en-US"/>
        </w:rPr>
        <w:t xml:space="preserve">For the parameter set </w:t>
      </w:r>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2</m:t>
                </m:r>
              </m:sub>
            </m:sSub>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2</m:t>
                </m:r>
              </m:sub>
            </m:sSub>
            <m:r>
              <w:rPr>
                <w:rFonts w:ascii="Cambria Math" w:eastAsiaTheme="minorEastAsia" w:hAnsi="Cambria Math"/>
                <w:lang w:val="en-US"/>
              </w:rPr>
              <m:t>=0.12,</m:t>
            </m:r>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21</m:t>
                </m:r>
              </m:sub>
            </m:sSub>
            <m:r>
              <w:rPr>
                <w:rFonts w:ascii="Cambria Math" w:eastAsiaTheme="minorEastAsia" w:hAnsi="Cambria Math"/>
                <w:lang w:val="en-US"/>
              </w:rPr>
              <m:t>=10</m:t>
            </m:r>
          </m:e>
        </m:d>
      </m:oMath>
      <w:r>
        <w:rPr>
          <w:rFonts w:eastAsiaTheme="minorEastAsia"/>
          <w:lang w:val="en-US"/>
        </w:rPr>
        <w:t xml:space="preserve">, there is true </w:t>
      </w:r>
      <w:proofErr w:type="spellStart"/>
      <w:r>
        <w:rPr>
          <w:rFonts w:eastAsiaTheme="minorEastAsia"/>
          <w:lang w:val="en-US"/>
        </w:rPr>
        <w:t>multistability</w:t>
      </w:r>
      <w:proofErr w:type="spellEnd"/>
      <w:r w:rsidR="00D164F9">
        <w:rPr>
          <w:rFonts w:eastAsiaTheme="minorEastAsia"/>
          <w:lang w:val="en-US"/>
        </w:rPr>
        <w:t>, with four stable equilibria, representing a stable low co-expression equilibrium, a stable high co-expression equilibrium, and two polarized immune response equilibria.</w:t>
      </w:r>
      <w:r w:rsidR="005914BA">
        <w:rPr>
          <w:rFonts w:eastAsiaTheme="minorEastAsia"/>
          <w:lang w:val="en-US"/>
        </w:rPr>
        <w:t xml:space="preserve"> It is useful to think what these parameter values imply, given the nondimensionalization we used: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num>
          <m:den>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num>
          <m:den>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den>
        </m:f>
        <m:r>
          <w:rPr>
            <w:rFonts w:ascii="Cambria Math" w:eastAsiaTheme="minorEastAsia" w:hAnsi="Cambria Math"/>
            <w:lang w:val="en-US"/>
          </w:rPr>
          <m:t xml:space="preserve">, </m:t>
        </m:r>
      </m:oMath>
      <w:r w:rsidR="005914BA">
        <w:rPr>
          <w:rFonts w:eastAsiaTheme="minorEastAsia"/>
          <w:lang w:val="en-US"/>
        </w:rPr>
        <w:t xml:space="preserve">and </w:t>
      </w:r>
      <m:oMath>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ij</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ij</m:t>
                </m:r>
              </m:sub>
            </m:sSub>
          </m:num>
          <m:den>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j</m:t>
                </m:r>
              </m:sub>
            </m:sSub>
          </m:den>
        </m:f>
      </m:oMath>
      <w:r w:rsidR="005914BA">
        <w:rPr>
          <w:rFonts w:eastAsiaTheme="minorEastAsia"/>
          <w:lang w:val="en-US"/>
        </w:rPr>
        <w:t xml:space="preserve">. Thus this choice of parameters implies that self-promotion leads to T cell proliferation that is 20 times faster than baseline (i.e.,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r>
          <w:rPr>
            <w:rFonts w:ascii="Cambria Math" w:eastAsiaTheme="minorEastAsia" w:hAnsi="Cambria Math"/>
            <w:lang w:val="en-US"/>
          </w:rPr>
          <m:t>=20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oMath>
      <w:r w:rsidR="005914BA">
        <w:rPr>
          <w:rFonts w:eastAsiaTheme="minorEastAsia"/>
          <w:lang w:val="en-US"/>
        </w:rPr>
        <w:t xml:space="preserve">) and cross-inhibition is much </w:t>
      </w:r>
      <w:r w:rsidR="00AA0280">
        <w:rPr>
          <w:rFonts w:eastAsiaTheme="minorEastAsia"/>
          <w:lang w:val="en-US"/>
        </w:rPr>
        <w:t>weaker</w:t>
      </w:r>
      <w:r w:rsidR="005914BA">
        <w:rPr>
          <w:rFonts w:eastAsiaTheme="minorEastAsia"/>
          <w:lang w:val="en-US"/>
        </w:rPr>
        <w:t xml:space="preserve"> than self-promotion (because, e.g., the Th1</w:t>
      </w:r>
      <w:r w:rsidR="005914BA">
        <w:rPr>
          <w:rFonts w:eastAsiaTheme="minorEastAsia"/>
          <w:lang w:val="en-US"/>
        </w:rPr>
        <w:softHyphen/>
        <w:t xml:space="preserve"> cell abundance that causes self-promotion to be half its maximum is 10 times </w:t>
      </w:r>
      <w:r w:rsidR="00AA0280">
        <w:rPr>
          <w:rFonts w:eastAsiaTheme="minorEastAsia"/>
          <w:lang w:val="en-US"/>
        </w:rPr>
        <w:t>smaller</w:t>
      </w:r>
      <w:r w:rsidR="005914BA">
        <w:rPr>
          <w:rFonts w:eastAsiaTheme="minorEastAsia"/>
          <w:lang w:val="en-US"/>
        </w:rPr>
        <w:t xml:space="preserve"> than the Th1 cell abundance that causes cross-inhibition to be half its minimum). </w:t>
      </w:r>
      <w:proofErr w:type="gramStart"/>
      <w:r w:rsidR="005914BA">
        <w:rPr>
          <w:rFonts w:eastAsiaTheme="minorEastAsia"/>
          <w:lang w:val="en-US"/>
        </w:rPr>
        <w:t>Thus</w:t>
      </w:r>
      <w:proofErr w:type="gramEnd"/>
      <w:r w:rsidR="005914BA">
        <w:rPr>
          <w:rFonts w:eastAsiaTheme="minorEastAsia"/>
          <w:lang w:val="en-US"/>
        </w:rPr>
        <w:t xml:space="preserve"> we have both very strong self-promotion </w:t>
      </w:r>
      <w:r w:rsidR="005914BA">
        <w:rPr>
          <w:rFonts w:eastAsiaTheme="minorEastAsia"/>
          <w:i/>
          <w:iCs/>
          <w:lang w:val="en-US"/>
        </w:rPr>
        <w:t>and</w:t>
      </w:r>
      <w:r w:rsidR="005914BA">
        <w:rPr>
          <w:rFonts w:eastAsiaTheme="minorEastAsia"/>
          <w:lang w:val="en-US"/>
        </w:rPr>
        <w:t xml:space="preserve"> very strong cross-inhibition. </w:t>
      </w:r>
    </w:p>
    <w:p w14:paraId="741FA7A6" w14:textId="63B8BA5D" w:rsidR="00D164F9" w:rsidRDefault="00D164F9" w:rsidP="004005A1">
      <w:pPr>
        <w:rPr>
          <w:rFonts w:eastAsiaTheme="minorEastAsia"/>
          <w:lang w:val="en-US"/>
        </w:rPr>
      </w:pPr>
      <w:r w:rsidRPr="00D164F9">
        <w:rPr>
          <w:rFonts w:eastAsiaTheme="minorEastAsia"/>
          <w:noProof/>
          <w:lang w:val="en-US"/>
        </w:rPr>
        <w:lastRenderedPageBreak/>
        <w:drawing>
          <wp:inline distT="0" distB="0" distL="0" distR="0" wp14:anchorId="40D279F8" wp14:editId="6F6334D7">
            <wp:extent cx="5943600" cy="2938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38780"/>
                    </a:xfrm>
                    <a:prstGeom prst="rect">
                      <a:avLst/>
                    </a:prstGeom>
                  </pic:spPr>
                </pic:pic>
              </a:graphicData>
            </a:graphic>
          </wp:inline>
        </w:drawing>
      </w:r>
    </w:p>
    <w:p w14:paraId="6DCEDD4D" w14:textId="7E3A971D" w:rsidR="00364D25" w:rsidRDefault="00F45284">
      <w:pPr>
        <w:rPr>
          <w:rFonts w:eastAsiaTheme="minorEastAsia"/>
          <w:lang w:val="en-US"/>
        </w:rPr>
      </w:pPr>
      <w:r w:rsidRPr="00F45284">
        <w:rPr>
          <w:rFonts w:eastAsiaTheme="minorEastAsia"/>
          <w:lang w:val="en-US"/>
        </w:rPr>
        <w:t>If you weaken the baseline response</w:t>
      </w:r>
      <w:r>
        <w:rPr>
          <w:rFonts w:eastAsiaTheme="minorEastAsia"/>
          <w:lang w:val="en-US"/>
        </w:rPr>
        <w:t xml:space="preserve"> (reducing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oMath>
      <w:r>
        <w:rPr>
          <w:rFonts w:eastAsiaTheme="minorEastAsia"/>
          <w:lang w:val="en-US"/>
        </w:rPr>
        <w:t xml:space="preserve"> from 0.12 to 0.08)</w:t>
      </w:r>
      <w:r w:rsidRPr="00F45284">
        <w:rPr>
          <w:rFonts w:eastAsiaTheme="minorEastAsia"/>
          <w:lang w:val="en-US"/>
        </w:rPr>
        <w:t>, you lose the high co-expression equilibrium, and end up with only three stable equilibria representing low co-expression or polarization.</w:t>
      </w:r>
      <w:r w:rsidR="002F06B4">
        <w:rPr>
          <w:rFonts w:eastAsiaTheme="minorEastAsia"/>
          <w:lang w:val="en-US"/>
        </w:rPr>
        <w:t xml:space="preserve"> Weakening it further can lead to a situation where only the low co-expression equilibrium is stable.</w:t>
      </w:r>
    </w:p>
    <w:p w14:paraId="334B949F" w14:textId="5549176F" w:rsidR="00F45284" w:rsidRDefault="00F45284">
      <w:pPr>
        <w:rPr>
          <w:rFonts w:eastAsiaTheme="minorEastAsia"/>
          <w:lang w:val="en-US"/>
        </w:rPr>
      </w:pPr>
      <w:r w:rsidRPr="00F45284">
        <w:rPr>
          <w:rFonts w:eastAsiaTheme="minorEastAsia"/>
          <w:noProof/>
          <w:lang w:val="en-US"/>
        </w:rPr>
        <w:drawing>
          <wp:inline distT="0" distB="0" distL="0" distR="0" wp14:anchorId="63C40425" wp14:editId="5E329348">
            <wp:extent cx="5943600" cy="2938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38780"/>
                    </a:xfrm>
                    <a:prstGeom prst="rect">
                      <a:avLst/>
                    </a:prstGeom>
                  </pic:spPr>
                </pic:pic>
              </a:graphicData>
            </a:graphic>
          </wp:inline>
        </w:drawing>
      </w:r>
    </w:p>
    <w:p w14:paraId="7014D4D6" w14:textId="72327017" w:rsidR="00F45284" w:rsidRDefault="00F45284">
      <w:pPr>
        <w:rPr>
          <w:rFonts w:eastAsiaTheme="minorEastAsia"/>
          <w:lang w:val="en-US"/>
        </w:rPr>
      </w:pPr>
      <w:r>
        <w:rPr>
          <w:rFonts w:eastAsiaTheme="minorEastAsia"/>
          <w:lang w:val="en-US"/>
        </w:rPr>
        <w:t xml:space="preserve">Whereas if you strengthen the baseline immune response (increasing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oMath>
      <w:r>
        <w:rPr>
          <w:rFonts w:eastAsiaTheme="minorEastAsia"/>
          <w:lang w:val="en-US"/>
        </w:rPr>
        <w:t xml:space="preserve"> from 0.12 to 0.15), </w:t>
      </w:r>
      <w:r w:rsidRPr="00F45284">
        <w:rPr>
          <w:rFonts w:eastAsiaTheme="minorEastAsia"/>
          <w:lang w:val="en-US"/>
        </w:rPr>
        <w:t xml:space="preserve">you end up with three equilibria representing polarization and high co-expression. Any further strengthening and the only stable equilibrium </w:t>
      </w:r>
      <w:proofErr w:type="gramStart"/>
      <w:r w:rsidRPr="00F45284">
        <w:rPr>
          <w:rFonts w:eastAsiaTheme="minorEastAsia"/>
          <w:lang w:val="en-US"/>
        </w:rPr>
        <w:t>is</w:t>
      </w:r>
      <w:proofErr w:type="gramEnd"/>
      <w:r w:rsidRPr="00F45284">
        <w:rPr>
          <w:rFonts w:eastAsiaTheme="minorEastAsia"/>
          <w:lang w:val="en-US"/>
        </w:rPr>
        <w:t xml:space="preserve"> high co-expression.</w:t>
      </w:r>
    </w:p>
    <w:p w14:paraId="7520F296" w14:textId="36EF53CB" w:rsidR="00F45284" w:rsidRDefault="00F45284">
      <w:pPr>
        <w:rPr>
          <w:rFonts w:eastAsiaTheme="minorEastAsia"/>
          <w:lang w:val="en-US"/>
        </w:rPr>
      </w:pPr>
      <w:r w:rsidRPr="00F45284">
        <w:rPr>
          <w:rFonts w:eastAsiaTheme="minorEastAsia"/>
          <w:noProof/>
          <w:lang w:val="en-US"/>
        </w:rPr>
        <w:lastRenderedPageBreak/>
        <w:drawing>
          <wp:inline distT="0" distB="0" distL="0" distR="0" wp14:anchorId="561E8F1E" wp14:editId="207801F2">
            <wp:extent cx="5943600" cy="2938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8780"/>
                    </a:xfrm>
                    <a:prstGeom prst="rect">
                      <a:avLst/>
                    </a:prstGeom>
                  </pic:spPr>
                </pic:pic>
              </a:graphicData>
            </a:graphic>
          </wp:inline>
        </w:drawing>
      </w:r>
    </w:p>
    <w:p w14:paraId="166E530A" w14:textId="77AC6E54" w:rsidR="00F45284" w:rsidRDefault="00F45284">
      <w:pPr>
        <w:rPr>
          <w:rFonts w:eastAsiaTheme="minorEastAsia"/>
          <w:lang w:val="en-US"/>
        </w:rPr>
      </w:pPr>
    </w:p>
    <w:p w14:paraId="2D1184C7" w14:textId="1D0FA09A" w:rsidR="00F45284" w:rsidRDefault="00F45284">
      <w:pPr>
        <w:rPr>
          <w:rFonts w:eastAsiaTheme="minorEastAsia"/>
          <w:lang w:val="en-US"/>
        </w:rPr>
      </w:pPr>
      <w:r>
        <w:rPr>
          <w:rFonts w:eastAsiaTheme="minorEastAsia"/>
          <w:lang w:val="en-US"/>
        </w:rPr>
        <w:t xml:space="preserve">Manipulating other parameters can also change the behavior of the system. For example, strengthening cross-inhibition by reducing the value of </w:t>
      </w:r>
      <m:oMath>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21</m:t>
            </m:r>
          </m:sub>
        </m:sSub>
      </m:oMath>
      <w:r>
        <w:rPr>
          <w:rFonts w:eastAsiaTheme="minorEastAsia"/>
          <w:lang w:val="en-US"/>
        </w:rPr>
        <w:t xml:space="preserve"> from 10 to 6 has a similar effect as weakening the baseline response: the high co-expression equilibrium is lost.</w:t>
      </w:r>
    </w:p>
    <w:p w14:paraId="4C0DA04F" w14:textId="0C1B83C6" w:rsidR="00F45284" w:rsidRDefault="00F45284">
      <w:pPr>
        <w:rPr>
          <w:rFonts w:eastAsiaTheme="minorEastAsia"/>
          <w:lang w:val="en-US"/>
        </w:rPr>
      </w:pPr>
      <w:r w:rsidRPr="00F45284">
        <w:rPr>
          <w:rFonts w:eastAsiaTheme="minorEastAsia"/>
          <w:noProof/>
          <w:lang w:val="en-US"/>
        </w:rPr>
        <w:drawing>
          <wp:inline distT="0" distB="0" distL="0" distR="0" wp14:anchorId="4BE17065" wp14:editId="68B8B9E3">
            <wp:extent cx="5943600" cy="2938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38780"/>
                    </a:xfrm>
                    <a:prstGeom prst="rect">
                      <a:avLst/>
                    </a:prstGeom>
                  </pic:spPr>
                </pic:pic>
              </a:graphicData>
            </a:graphic>
          </wp:inline>
        </w:drawing>
      </w:r>
    </w:p>
    <w:p w14:paraId="169B070B" w14:textId="379F4EC1" w:rsidR="00F45284" w:rsidRDefault="00F45284">
      <w:pPr>
        <w:rPr>
          <w:rFonts w:eastAsiaTheme="minorEastAsia"/>
          <w:lang w:val="en-US"/>
        </w:rPr>
      </w:pPr>
      <w:r>
        <w:rPr>
          <w:rFonts w:eastAsiaTheme="minorEastAsia"/>
          <w:lang w:val="en-US"/>
        </w:rPr>
        <w:t xml:space="preserve">Weakening cross-inhibition by reducing the value of </w:t>
      </w:r>
      <m:oMath>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21</m:t>
            </m:r>
          </m:sub>
        </m:sSub>
      </m:oMath>
      <w:r>
        <w:rPr>
          <w:rFonts w:eastAsiaTheme="minorEastAsia"/>
          <w:lang w:val="en-US"/>
        </w:rPr>
        <w:t xml:space="preserve"> from 10 to 15 increases the basin of attraction for the high co-expression equilibrium, making that outcome more likely.</w:t>
      </w:r>
    </w:p>
    <w:p w14:paraId="759D1402" w14:textId="29839F45" w:rsidR="00F45284" w:rsidRDefault="00F45284">
      <w:pPr>
        <w:rPr>
          <w:rFonts w:eastAsiaTheme="minorEastAsia"/>
          <w:lang w:val="en-US"/>
        </w:rPr>
      </w:pPr>
      <w:r w:rsidRPr="00F45284">
        <w:rPr>
          <w:rFonts w:eastAsiaTheme="minorEastAsia"/>
          <w:noProof/>
          <w:lang w:val="en-US"/>
        </w:rPr>
        <w:lastRenderedPageBreak/>
        <w:drawing>
          <wp:inline distT="0" distB="0" distL="0" distR="0" wp14:anchorId="145ECC67" wp14:editId="6E1151FF">
            <wp:extent cx="5943600" cy="2938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38780"/>
                    </a:xfrm>
                    <a:prstGeom prst="rect">
                      <a:avLst/>
                    </a:prstGeom>
                  </pic:spPr>
                </pic:pic>
              </a:graphicData>
            </a:graphic>
          </wp:inline>
        </w:drawing>
      </w:r>
    </w:p>
    <w:p w14:paraId="3981E8D1" w14:textId="1149104B" w:rsidR="00F45284" w:rsidRDefault="00F45284">
      <w:pPr>
        <w:rPr>
          <w:rFonts w:eastAsiaTheme="minorEastAsia"/>
          <w:lang w:val="en-US"/>
        </w:rPr>
      </w:pPr>
      <w:r>
        <w:rPr>
          <w:rFonts w:eastAsiaTheme="minorEastAsia"/>
          <w:lang w:val="en-US"/>
        </w:rPr>
        <w:t xml:space="preserve">Strengthening self-promotion (increasing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i</m:t>
            </m:r>
          </m:sub>
        </m:sSub>
      </m:oMath>
      <w:r>
        <w:rPr>
          <w:rFonts w:eastAsiaTheme="minorEastAsia"/>
          <w:lang w:val="en-US"/>
        </w:rPr>
        <w:t xml:space="preserve"> from 2 to 2.5) also causes the loss of the low co-expression equilibrium: </w:t>
      </w:r>
    </w:p>
    <w:p w14:paraId="3B02CC30" w14:textId="0B2AD355" w:rsidR="00F45284" w:rsidRDefault="00F45284">
      <w:pPr>
        <w:rPr>
          <w:rFonts w:eastAsiaTheme="minorEastAsia"/>
          <w:lang w:val="en-US"/>
        </w:rPr>
      </w:pPr>
      <w:r w:rsidRPr="00F45284">
        <w:rPr>
          <w:rFonts w:eastAsiaTheme="minorEastAsia"/>
          <w:noProof/>
          <w:lang w:val="en-US"/>
        </w:rPr>
        <w:drawing>
          <wp:inline distT="0" distB="0" distL="0" distR="0" wp14:anchorId="7C004255" wp14:editId="497AE833">
            <wp:extent cx="5943600" cy="2938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38780"/>
                    </a:xfrm>
                    <a:prstGeom prst="rect">
                      <a:avLst/>
                    </a:prstGeom>
                  </pic:spPr>
                </pic:pic>
              </a:graphicData>
            </a:graphic>
          </wp:inline>
        </w:drawing>
      </w:r>
    </w:p>
    <w:p w14:paraId="04FA1F73" w14:textId="003FBDB8" w:rsidR="00F45284" w:rsidRDefault="00F45284">
      <w:pPr>
        <w:rPr>
          <w:rFonts w:eastAsiaTheme="minorEastAsia"/>
          <w:lang w:val="en-US"/>
        </w:rPr>
      </w:pPr>
      <w:r>
        <w:rPr>
          <w:rFonts w:eastAsiaTheme="minorEastAsia"/>
          <w:lang w:val="en-US"/>
        </w:rPr>
        <w:t xml:space="preserve">If you increase it much beyond this point, the only stable equilibrium is a high co-expression equilibrium. </w:t>
      </w:r>
      <w:r w:rsidR="002F06B4">
        <w:rPr>
          <w:rFonts w:eastAsiaTheme="minorEastAsia"/>
          <w:lang w:val="en-US"/>
        </w:rPr>
        <w:t xml:space="preserve">Weakening self-promotion has the same effect as weakening baseline proliferation: first the loss of the high co-expression equilibrium, then the loss of the polarized equilibria. </w:t>
      </w:r>
    </w:p>
    <w:p w14:paraId="285DEAE7" w14:textId="3DCAC460" w:rsidR="002F06B4" w:rsidRDefault="002F06B4">
      <w:pPr>
        <w:rPr>
          <w:rFonts w:eastAsiaTheme="minorEastAsia"/>
          <w:lang w:val="en-US"/>
        </w:rPr>
      </w:pPr>
      <w:r w:rsidRPr="002F06B4">
        <w:rPr>
          <w:rFonts w:eastAsiaTheme="minorEastAsia"/>
          <w:noProof/>
          <w:lang w:val="en-US"/>
        </w:rPr>
        <w:lastRenderedPageBreak/>
        <w:drawing>
          <wp:inline distT="0" distB="0" distL="0" distR="0" wp14:anchorId="5DDFE8AB" wp14:editId="4D4A7DD9">
            <wp:extent cx="5943600" cy="2938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8780"/>
                    </a:xfrm>
                    <a:prstGeom prst="rect">
                      <a:avLst/>
                    </a:prstGeom>
                  </pic:spPr>
                </pic:pic>
              </a:graphicData>
            </a:graphic>
          </wp:inline>
        </w:drawing>
      </w:r>
    </w:p>
    <w:p w14:paraId="26DC68D9" w14:textId="6E0D9F5A" w:rsidR="002F06B4" w:rsidRDefault="002F06B4">
      <w:pPr>
        <w:rPr>
          <w:rFonts w:eastAsiaTheme="minorEastAsia"/>
          <w:lang w:val="en-US"/>
        </w:rPr>
      </w:pPr>
    </w:p>
    <w:p w14:paraId="1BA74166" w14:textId="3FEB1B3A" w:rsidR="002F06B4" w:rsidRDefault="002F06B4">
      <w:pPr>
        <w:rPr>
          <w:rFonts w:eastAsiaTheme="minorEastAsia"/>
          <w:lang w:val="en-US"/>
        </w:rPr>
      </w:pPr>
      <w:r>
        <w:rPr>
          <w:rFonts w:eastAsiaTheme="minorEastAsia"/>
          <w:lang w:val="en-US"/>
        </w:rPr>
        <w:t xml:space="preserve">In short, this model is </w:t>
      </w:r>
      <w:r w:rsidRPr="005D4F45">
        <w:rPr>
          <w:rFonts w:eastAsiaTheme="minorEastAsia"/>
          <w:i/>
          <w:iCs/>
          <w:lang w:val="en-US"/>
        </w:rPr>
        <w:t>very</w:t>
      </w:r>
      <w:r>
        <w:rPr>
          <w:rFonts w:eastAsiaTheme="minorEastAsia"/>
          <w:lang w:val="en-US"/>
        </w:rPr>
        <w:t xml:space="preserve"> promising.</w:t>
      </w:r>
    </w:p>
    <w:p w14:paraId="39805770" w14:textId="0BA73596" w:rsidR="0078289D" w:rsidRDefault="0078289D">
      <w:pPr>
        <w:rPr>
          <w:rFonts w:eastAsiaTheme="minorEastAsia"/>
          <w:lang w:val="en-US"/>
        </w:rPr>
      </w:pPr>
    </w:p>
    <w:p w14:paraId="28BF836D" w14:textId="2B59DD34" w:rsidR="0078289D" w:rsidRDefault="0078289D">
      <w:pPr>
        <w:rPr>
          <w:rFonts w:eastAsiaTheme="minorEastAsia"/>
          <w:lang w:val="en-US"/>
        </w:rPr>
      </w:pPr>
      <w:r>
        <w:rPr>
          <w:rFonts w:eastAsiaTheme="minorEastAsia"/>
          <w:b/>
          <w:bCs/>
          <w:u w:val="single"/>
          <w:lang w:val="en-US"/>
        </w:rPr>
        <w:t>Model 4</w:t>
      </w:r>
    </w:p>
    <w:p w14:paraId="41B254C2" w14:textId="77777777" w:rsidR="00AA0280" w:rsidRDefault="0078289D">
      <w:pPr>
        <w:rPr>
          <w:rFonts w:eastAsiaTheme="minorEastAsia"/>
          <w:lang w:val="en-US"/>
        </w:rPr>
      </w:pPr>
      <w:r>
        <w:rPr>
          <w:rFonts w:eastAsiaTheme="minorEastAsia"/>
          <w:lang w:val="en-US"/>
        </w:rPr>
        <w:t>The last model to explore is one that looks at stronger cross-inhibition</w:t>
      </w:r>
      <w:r w:rsidR="00AA0280">
        <w:rPr>
          <w:rFonts w:eastAsiaTheme="minorEastAsia"/>
          <w:lang w:val="en-US"/>
        </w:rPr>
        <w:t>, so I considered this model:</w:t>
      </w:r>
    </w:p>
    <w:p w14:paraId="37B1B5BF" w14:textId="26B90182" w:rsidR="00AA0280" w:rsidRPr="00AA0280" w:rsidRDefault="0078289D" w:rsidP="00AA0280">
      <w:pPr>
        <w:rPr>
          <w:rFonts w:eastAsiaTheme="minorEastAsia"/>
          <w:lang w:val="en-US"/>
        </w:rPr>
      </w:pPr>
      <w:r>
        <w:rPr>
          <w:rFonts w:eastAsiaTheme="minorEastAsia"/>
          <w:lang w:val="en-US"/>
        </w:rPr>
        <w:t xml:space="preserve"> </w:t>
      </w:r>
      <m:oMath>
        <m:r>
          <m:rPr>
            <m:sty m:val="p"/>
          </m:rPr>
          <w:rPr>
            <w:rFonts w:ascii="Cambria Math" w:hAnsi="Cambria Math"/>
            <w:lang w:val="en-US"/>
          </w:rPr>
          <w:br/>
        </m:r>
      </m:oMath>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den>
          </m:f>
          <m:r>
            <w:rPr>
              <w:rFonts w:ascii="Cambria Math" w:hAnsi="Cambria Math"/>
              <w:lang w:val="en-US"/>
            </w:rPr>
            <m:t xml:space="preserve"> </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ij</m:t>
                  </m:r>
                </m:sub>
                <m:sup>
                  <m:r>
                    <w:rPr>
                      <w:rFonts w:ascii="Cambria Math" w:hAnsi="Cambria Math"/>
                      <w:lang w:val="en-US"/>
                    </w:rPr>
                    <m:t>2</m:t>
                  </m:r>
                </m:sup>
              </m:sSubSup>
            </m:num>
            <m:den>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ij</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2</m:t>
                  </m:r>
                </m:sup>
              </m:sSubSup>
            </m:den>
          </m:f>
          <m:r>
            <w:rPr>
              <w:rFonts w:ascii="Cambria Math" w:hAnsi="Cambria Math"/>
              <w:lang w:val="en-US"/>
            </w:rPr>
            <m:t xml:space="preserve">-m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m:oMathPara>
    </w:p>
    <w:p w14:paraId="227B8CE7" w14:textId="77777777" w:rsidR="00AA0280" w:rsidRPr="00AA0280" w:rsidRDefault="00AA0280" w:rsidP="00AA0280">
      <w:pPr>
        <w:rPr>
          <w:rFonts w:eastAsiaTheme="minorEastAsia"/>
          <w:lang w:val="en-US"/>
        </w:rPr>
      </w:pPr>
    </w:p>
    <w:p w14:paraId="7B809202" w14:textId="3F81526A" w:rsidR="00AA0280" w:rsidRDefault="00AA0280" w:rsidP="00AA0280">
      <w:pPr>
        <w:rPr>
          <w:rFonts w:eastAsiaTheme="minorEastAsia"/>
          <w:lang w:val="en-US"/>
        </w:rPr>
      </w:pPr>
      <w:r>
        <w:rPr>
          <w:rFonts w:eastAsiaTheme="minorEastAsia"/>
          <w:lang w:val="en-US"/>
        </w:rPr>
        <w:t>This can be nondimensionalized in a similar way as all of the other models, leading to</w:t>
      </w:r>
    </w:p>
    <w:p w14:paraId="3A2A312A" w14:textId="15AC26C5" w:rsidR="004E3FCF" w:rsidRPr="004E3FCF" w:rsidRDefault="00322FC7" w:rsidP="004E3FCF">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num>
            <m:den>
              <m:r>
                <w:rPr>
                  <w:rFonts w:ascii="Cambria Math" w:eastAsiaTheme="minorEastAsia" w:hAnsi="Cambria Math"/>
                  <w:lang w:val="en-US"/>
                </w:rPr>
                <m:t>dτ</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i</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num>
            <m:den>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den>
          </m:f>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ι</m:t>
                  </m:r>
                </m:e>
                <m:sub>
                  <m:r>
                    <w:rPr>
                      <w:rFonts w:ascii="Cambria Math" w:eastAsiaTheme="minorEastAsia" w:hAnsi="Cambria Math"/>
                      <w:lang w:val="en-US"/>
                    </w:rPr>
                    <m:t>ij</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ι</m:t>
                  </m:r>
                </m:e>
                <m:sub>
                  <m:r>
                    <w:rPr>
                      <w:rFonts w:ascii="Cambria Math" w:eastAsiaTheme="minorEastAsia" w:hAnsi="Cambria Math"/>
                      <w:lang w:val="en-US"/>
                    </w:rPr>
                    <m:t>ij</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2</m:t>
                  </m:r>
                </m:sup>
              </m:sSubSup>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oMath>
      </m:oMathPara>
    </w:p>
    <w:p w14:paraId="085812BC" w14:textId="2512A1B9" w:rsidR="004E3FCF" w:rsidRDefault="004E3FCF" w:rsidP="004E3FCF">
      <w:pPr>
        <w:rPr>
          <w:rFonts w:eastAsiaTheme="minorEastAsia"/>
          <w:lang w:val="en-US"/>
        </w:rPr>
      </w:pPr>
      <w:r>
        <w:rPr>
          <w:rFonts w:eastAsiaTheme="minorEastAsia"/>
          <w:lang w:val="en-US"/>
        </w:rPr>
        <w:t>Again, we can examine the isoclines</w:t>
      </w:r>
    </w:p>
    <w:p w14:paraId="56D2EC61" w14:textId="483BAE0E" w:rsidR="004E3FCF" w:rsidRPr="004E3FCF" w:rsidRDefault="00322FC7" w:rsidP="004E3FCF">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ij</m:t>
                  </m:r>
                </m:sub>
              </m:sSub>
              <m:rad>
                <m:radPr>
                  <m:degHide m:val="1"/>
                  <m:ctrlPr>
                    <w:rPr>
                      <w:rFonts w:ascii="Cambria Math" w:eastAsiaTheme="minorEastAsia" w:hAnsi="Cambria Math"/>
                      <w:i/>
                      <w:lang w:val="en-US"/>
                    </w:rPr>
                  </m:ctrlPr>
                </m:radPr>
                <m:deg/>
                <m:e>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i</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i</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e>
              </m:rad>
            </m:num>
            <m:den>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e>
                  </m: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e>
                  </m:d>
                </m:e>
              </m:rad>
            </m:den>
          </m:f>
        </m:oMath>
      </m:oMathPara>
    </w:p>
    <w:p w14:paraId="34913A89" w14:textId="44E4B39A" w:rsidR="004E3FCF" w:rsidRDefault="004E3FCF" w:rsidP="004E3FCF">
      <w:pPr>
        <w:rPr>
          <w:rFonts w:eastAsiaTheme="minorEastAsia"/>
          <w:lang w:val="en-US"/>
        </w:rPr>
      </w:pPr>
      <w:r>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oMath>
      <w:r>
        <w:rPr>
          <w:rFonts w:eastAsiaTheme="minorEastAsia"/>
          <w:lang w:val="en-US"/>
        </w:rPr>
        <w:t>, the both the numerator and the denominator are positive, implying that the isocline will exist in the positive quadrant. The slope of this isocline is</w:t>
      </w:r>
      <w:r w:rsidR="00150C3B">
        <w:rPr>
          <w:rFonts w:eastAsiaTheme="minorEastAsia"/>
          <w:lang w:val="en-US"/>
        </w:rPr>
        <w:t xml:space="preserve"> given by</w:t>
      </w:r>
    </w:p>
    <w:p w14:paraId="14CAEB84" w14:textId="5648A869" w:rsidR="00150C3B" w:rsidRPr="00150C3B" w:rsidRDefault="00322FC7" w:rsidP="004E3FCF">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m:t>
                  </m:r>
                </m:sub>
              </m:sSub>
            </m:num>
            <m:den>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den>
          </m:f>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i</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e>
              </m:d>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i</m:t>
                  </m:r>
                </m:sub>
              </m:sSub>
            </m:num>
            <m:den>
              <m:r>
                <w:rPr>
                  <w:rFonts w:ascii="Cambria Math" w:eastAsiaTheme="minorEastAsia" w:hAnsi="Cambria Math"/>
                  <w:lang w:val="en-US"/>
                </w:rPr>
                <m:t>2</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e>
                      </m: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e>
                      </m:d>
                    </m:e>
                  </m:d>
                </m:e>
                <m:sup>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2</m:t>
                      </m:r>
                    </m:den>
                  </m:f>
                </m:sup>
              </m:sSup>
              <m:rad>
                <m:radPr>
                  <m:degHide m:val="1"/>
                  <m:ctrlPr>
                    <w:rPr>
                      <w:rFonts w:ascii="Cambria Math" w:eastAsiaTheme="minorEastAsia" w:hAnsi="Cambria Math"/>
                      <w:i/>
                      <w:lang w:val="en-US"/>
                    </w:rPr>
                  </m:ctrlPr>
                </m:radPr>
                <m:deg/>
                <m:e>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i</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i</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e>
              </m:rad>
            </m:den>
          </m:f>
        </m:oMath>
      </m:oMathPara>
    </w:p>
    <w:p w14:paraId="3C71B98F" w14:textId="43FC8414" w:rsidR="00150C3B" w:rsidRDefault="00150C3B" w:rsidP="004E3FCF">
      <w:pPr>
        <w:rPr>
          <w:rFonts w:eastAsiaTheme="minorEastAsia"/>
          <w:lang w:val="en-US"/>
        </w:rPr>
      </w:pPr>
      <w:r>
        <w:rPr>
          <w:rFonts w:eastAsiaTheme="minorEastAsia"/>
          <w:lang w:val="en-US"/>
        </w:rPr>
        <w:t xml:space="preserve">While is expression is complicated, it’s clear that it must negative for all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m:t>
            </m:r>
          </m:sub>
        </m:sSub>
      </m:oMath>
      <w:r>
        <w:rPr>
          <w:rFonts w:eastAsiaTheme="minorEastAsia"/>
          <w:lang w:val="en-US"/>
        </w:rPr>
        <w:t xml:space="preserve">. Without explicitly into the second derivative, it is also quite complicated (a degree five polynomial) and thus there is the possibility for </w:t>
      </w:r>
      <w:r w:rsidR="00BE2C6B">
        <w:rPr>
          <w:rFonts w:eastAsiaTheme="minorEastAsia"/>
          <w:lang w:val="en-US"/>
        </w:rPr>
        <w:t>the second derivative to change signs, making the shape complex enough to allow multiple possible intersections.</w:t>
      </w:r>
    </w:p>
    <w:p w14:paraId="4963BC18" w14:textId="1233D3D7" w:rsidR="00BE2C6B" w:rsidRDefault="00BE2C6B" w:rsidP="004E3FCF">
      <w:pPr>
        <w:rPr>
          <w:rFonts w:eastAsiaTheme="minorEastAsia"/>
          <w:lang w:val="en-US"/>
        </w:rPr>
      </w:pPr>
    </w:p>
    <w:p w14:paraId="6952A0E4" w14:textId="4B2C2F48" w:rsidR="00BE2C6B" w:rsidRDefault="00BE2C6B" w:rsidP="004E3FCF">
      <w:pPr>
        <w:rPr>
          <w:rFonts w:eastAsiaTheme="minorEastAsia"/>
          <w:lang w:val="en-US"/>
        </w:rPr>
      </w:pPr>
      <w:r>
        <w:rPr>
          <w:rFonts w:eastAsiaTheme="minorEastAsia"/>
          <w:lang w:val="en-US"/>
        </w:rPr>
        <w:lastRenderedPageBreak/>
        <w:t xml:space="preserve">With this set of parameter values </w:t>
      </w:r>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2</m:t>
                </m:r>
              </m:sub>
            </m:sSub>
            <m:r>
              <w:rPr>
                <w:rFonts w:ascii="Cambria Math" w:eastAsiaTheme="minorEastAsia" w:hAnsi="Cambria Math"/>
                <w:lang w:val="en-US"/>
              </w:rPr>
              <m:t>=3.5,</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2</m:t>
                </m:r>
              </m:sub>
            </m:sSub>
            <m:r>
              <w:rPr>
                <w:rFonts w:ascii="Cambria Math" w:eastAsiaTheme="minorEastAsia" w:hAnsi="Cambria Math"/>
                <w:lang w:val="en-US"/>
              </w:rPr>
              <m:t>=0.05,</m:t>
            </m:r>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21</m:t>
                </m:r>
              </m:sub>
            </m:sSub>
            <m:r>
              <w:rPr>
                <w:rFonts w:ascii="Cambria Math" w:eastAsiaTheme="minorEastAsia" w:hAnsi="Cambria Math"/>
                <w:lang w:val="en-US"/>
              </w:rPr>
              <m:t>=1</m:t>
            </m:r>
          </m:e>
        </m:d>
      </m:oMath>
      <w:r>
        <w:rPr>
          <w:rFonts w:eastAsiaTheme="minorEastAsia"/>
          <w:lang w:val="en-US"/>
        </w:rPr>
        <w:t xml:space="preserve">, you do get </w:t>
      </w:r>
      <w:proofErr w:type="spellStart"/>
      <w:r>
        <w:rPr>
          <w:rFonts w:eastAsiaTheme="minorEastAsia"/>
          <w:lang w:val="en-US"/>
        </w:rPr>
        <w:t>bistability</w:t>
      </w:r>
      <w:proofErr w:type="spellEnd"/>
      <w:r>
        <w:rPr>
          <w:rFonts w:eastAsiaTheme="minorEastAsia"/>
          <w:lang w:val="en-US"/>
        </w:rPr>
        <w:t xml:space="preserve"> between polarized outcomes, but no possibility for any co-expression states at all. This makes intuitive sense: with very strong cross-inhibition, as we have here, </w:t>
      </w:r>
      <w:r w:rsidR="00B22BAB">
        <w:rPr>
          <w:rFonts w:eastAsiaTheme="minorEastAsia"/>
          <w:lang w:val="en-US"/>
        </w:rPr>
        <w:t>any initial bias in the Th response will drive the system towards a polarized response.</w:t>
      </w:r>
    </w:p>
    <w:p w14:paraId="2E024EA1" w14:textId="7E87FF3F" w:rsidR="00BE2C6B" w:rsidRPr="004005A1" w:rsidRDefault="00BE2C6B" w:rsidP="004E3FCF">
      <w:pPr>
        <w:rPr>
          <w:rFonts w:eastAsiaTheme="minorEastAsia"/>
          <w:lang w:val="en-US"/>
        </w:rPr>
      </w:pPr>
      <w:r w:rsidRPr="00BE2C6B">
        <w:rPr>
          <w:rFonts w:eastAsiaTheme="minorEastAsia"/>
          <w:noProof/>
          <w:lang w:val="en-US"/>
        </w:rPr>
        <w:drawing>
          <wp:inline distT="0" distB="0" distL="0" distR="0" wp14:anchorId="425816F0" wp14:editId="6FDE3EB2">
            <wp:extent cx="5943600" cy="2938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8780"/>
                    </a:xfrm>
                    <a:prstGeom prst="rect">
                      <a:avLst/>
                    </a:prstGeom>
                  </pic:spPr>
                </pic:pic>
              </a:graphicData>
            </a:graphic>
          </wp:inline>
        </w:drawing>
      </w:r>
    </w:p>
    <w:p w14:paraId="5F43769C" w14:textId="77777777" w:rsidR="004E3FCF" w:rsidRPr="004D470A" w:rsidRDefault="004E3FCF" w:rsidP="00AA0280">
      <w:pPr>
        <w:rPr>
          <w:rFonts w:eastAsiaTheme="minorEastAsia"/>
          <w:lang w:val="en-US"/>
        </w:rPr>
      </w:pPr>
    </w:p>
    <w:p w14:paraId="3187D18F" w14:textId="791EAF80" w:rsidR="0078289D" w:rsidRDefault="0078289D">
      <w:pPr>
        <w:rPr>
          <w:rFonts w:eastAsiaTheme="minorEastAsia"/>
          <w:lang w:val="en-US"/>
        </w:rPr>
      </w:pPr>
    </w:p>
    <w:p w14:paraId="293FB33E" w14:textId="7DFE70CA" w:rsidR="00B22BAB" w:rsidRDefault="00B22BAB">
      <w:pPr>
        <w:rPr>
          <w:rFonts w:eastAsiaTheme="minorEastAsia"/>
          <w:lang w:val="en-US"/>
        </w:rPr>
      </w:pPr>
      <w:r>
        <w:rPr>
          <w:rFonts w:eastAsiaTheme="minorEastAsia"/>
          <w:lang w:val="en-US"/>
        </w:rPr>
        <w:t xml:space="preserve">If you weaken cross-inhibition by increasing the value of </w:t>
      </w:r>
      <m:oMath>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ι</m:t>
            </m:r>
          </m:e>
          <m:sub>
            <m:r>
              <w:rPr>
                <w:rFonts w:ascii="Cambria Math" w:eastAsiaTheme="minorEastAsia" w:hAnsi="Cambria Math"/>
                <w:lang w:val="en-US"/>
              </w:rPr>
              <m:t>21</m:t>
            </m:r>
          </m:sub>
        </m:sSub>
      </m:oMath>
      <w:r>
        <w:rPr>
          <w:rFonts w:eastAsiaTheme="minorEastAsia"/>
          <w:lang w:val="en-US"/>
        </w:rPr>
        <w:t xml:space="preserve"> from 1 to 3, then the only possible equilibrium is a stable high co-expression equilibrium.</w:t>
      </w:r>
    </w:p>
    <w:p w14:paraId="2539E148" w14:textId="623D00A9" w:rsidR="00B22BAB" w:rsidRDefault="00B22BAB">
      <w:pPr>
        <w:rPr>
          <w:rFonts w:eastAsiaTheme="minorEastAsia"/>
          <w:lang w:val="en-US"/>
        </w:rPr>
      </w:pPr>
      <w:r w:rsidRPr="00B22BAB">
        <w:rPr>
          <w:rFonts w:eastAsiaTheme="minorEastAsia"/>
          <w:noProof/>
          <w:lang w:val="en-US"/>
        </w:rPr>
        <w:drawing>
          <wp:inline distT="0" distB="0" distL="0" distR="0" wp14:anchorId="7380DA14" wp14:editId="686E1588">
            <wp:extent cx="5943600" cy="293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38780"/>
                    </a:xfrm>
                    <a:prstGeom prst="rect">
                      <a:avLst/>
                    </a:prstGeom>
                  </pic:spPr>
                </pic:pic>
              </a:graphicData>
            </a:graphic>
          </wp:inline>
        </w:drawing>
      </w:r>
    </w:p>
    <w:p w14:paraId="594F2FB4" w14:textId="2071D1FA" w:rsidR="00B22BAB" w:rsidRDefault="00B22BAB">
      <w:pPr>
        <w:rPr>
          <w:rFonts w:eastAsiaTheme="minorEastAsia"/>
          <w:lang w:val="en-US"/>
        </w:rPr>
      </w:pPr>
      <w:r>
        <w:rPr>
          <w:rFonts w:eastAsiaTheme="minorEastAsia"/>
          <w:lang w:val="en-US"/>
        </w:rPr>
        <w:t xml:space="preserve">Given the shape of the isoclines, 1 or 3 intersections are the only possibilities, so this model will only have as possibilities a stable high co-expression equilibrium, or </w:t>
      </w:r>
      <w:proofErr w:type="spellStart"/>
      <w:r>
        <w:rPr>
          <w:rFonts w:eastAsiaTheme="minorEastAsia"/>
          <w:lang w:val="en-US"/>
        </w:rPr>
        <w:t>bistability</w:t>
      </w:r>
      <w:proofErr w:type="spellEnd"/>
      <w:r>
        <w:rPr>
          <w:rFonts w:eastAsiaTheme="minorEastAsia"/>
          <w:lang w:val="en-US"/>
        </w:rPr>
        <w:t xml:space="preserve"> between polarized equilibria. </w:t>
      </w:r>
    </w:p>
    <w:p w14:paraId="4991199E" w14:textId="5E90AC45" w:rsidR="0056789D" w:rsidRDefault="0056789D">
      <w:pPr>
        <w:rPr>
          <w:rFonts w:eastAsiaTheme="minorEastAsia"/>
          <w:lang w:val="en-US"/>
        </w:rPr>
      </w:pPr>
    </w:p>
    <w:p w14:paraId="6F2DC627" w14:textId="5DA4520C" w:rsidR="0056789D" w:rsidRDefault="0056789D">
      <w:pPr>
        <w:rPr>
          <w:rFonts w:eastAsiaTheme="minorEastAsia"/>
          <w:lang w:val="en-US"/>
        </w:rPr>
      </w:pPr>
      <w:r>
        <w:rPr>
          <w:rFonts w:eastAsiaTheme="minorEastAsia"/>
          <w:lang w:val="en-US"/>
        </w:rPr>
        <w:lastRenderedPageBreak/>
        <w:t>Of course, more complicated models would also likely work, for example this one, but I doubt that it would produce any truly new biological phenomena.</w:t>
      </w:r>
    </w:p>
    <w:p w14:paraId="443F8F13" w14:textId="03EC7573" w:rsidR="0056789D" w:rsidRPr="0056789D" w:rsidRDefault="00322FC7">
      <w:pPr>
        <w:rPr>
          <w:rFonts w:eastAsiaTheme="minorEastAsia"/>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2</m:t>
                  </m:r>
                </m:sup>
              </m:sSubSup>
            </m:num>
            <m:den>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i</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2</m:t>
                  </m:r>
                </m:sup>
              </m:sSubSup>
            </m:den>
          </m:f>
          <m:r>
            <w:rPr>
              <w:rFonts w:ascii="Cambria Math" w:hAnsi="Cambria Math"/>
              <w:lang w:val="en-US"/>
            </w:rPr>
            <m:t xml:space="preserve"> </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ij</m:t>
                  </m:r>
                </m:sub>
                <m:sup>
                  <m:r>
                    <w:rPr>
                      <w:rFonts w:ascii="Cambria Math" w:hAnsi="Cambria Math"/>
                      <w:lang w:val="en-US"/>
                    </w:rPr>
                    <m:t>2</m:t>
                  </m:r>
                </m:sup>
              </m:sSubSup>
            </m:num>
            <m:den>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ij</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2</m:t>
                  </m:r>
                </m:sup>
              </m:sSubSup>
            </m:den>
          </m:f>
          <m:r>
            <w:rPr>
              <w:rFonts w:ascii="Cambria Math" w:hAnsi="Cambria Math"/>
              <w:lang w:val="en-US"/>
            </w:rPr>
            <m:t xml:space="preserve">-m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m:oMathPara>
    </w:p>
    <w:p w14:paraId="21625D26" w14:textId="559C4043" w:rsidR="0056789D" w:rsidRDefault="0056789D">
      <w:pPr>
        <w:rPr>
          <w:rFonts w:eastAsiaTheme="minorEastAsia"/>
          <w:lang w:val="en-US"/>
        </w:rPr>
      </w:pPr>
    </w:p>
    <w:p w14:paraId="665A32CA" w14:textId="0ED3A04A" w:rsidR="0056789D" w:rsidRDefault="0056789D">
      <w:pPr>
        <w:rPr>
          <w:rFonts w:eastAsiaTheme="minorEastAsia"/>
          <w:lang w:val="en-US"/>
        </w:rPr>
      </w:pPr>
      <w:r>
        <w:rPr>
          <w:rFonts w:eastAsiaTheme="minorEastAsia"/>
          <w:lang w:val="en-US"/>
        </w:rPr>
        <w:t xml:space="preserve">The next issue is how to integrate this Th system with the immune-parasite system. The immune-parasite model we were using to demonstrate </w:t>
      </w:r>
      <w:proofErr w:type="spellStart"/>
      <w:r>
        <w:rPr>
          <w:rFonts w:eastAsiaTheme="minorEastAsia"/>
          <w:lang w:val="en-US"/>
        </w:rPr>
        <w:t>bistability</w:t>
      </w:r>
      <w:proofErr w:type="spellEnd"/>
      <w:r>
        <w:rPr>
          <w:rFonts w:eastAsiaTheme="minorEastAsia"/>
          <w:lang w:val="en-US"/>
        </w:rPr>
        <w:t xml:space="preserve"> was the following:</w:t>
      </w:r>
    </w:p>
    <w:p w14:paraId="67B8FC57" w14:textId="43EF33D9" w:rsidR="0056789D" w:rsidRPr="0056789D" w:rsidRDefault="00322FC7">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dT</m:t>
              </m:r>
            </m:num>
            <m:den>
              <m:r>
                <w:rPr>
                  <w:rFonts w:ascii="Cambria Math" w:eastAsiaTheme="minorEastAsia" w:hAnsi="Cambria Math"/>
                  <w:lang w:val="en-US"/>
                </w:rPr>
                <m:t>dt</m:t>
              </m:r>
            </m:den>
          </m:f>
          <m:r>
            <w:rPr>
              <w:rFonts w:ascii="Cambria Math" w:eastAsiaTheme="minorEastAsia" w:hAnsi="Cambria Math"/>
              <w:lang w:val="en-US"/>
            </w:rPr>
            <m:t>=b+sP-mT-</m:t>
          </m:r>
          <m:f>
            <m:fPr>
              <m:ctrlPr>
                <w:rPr>
                  <w:rFonts w:ascii="Cambria Math" w:eastAsiaTheme="minorEastAsia" w:hAnsi="Cambria Math"/>
                  <w:i/>
                  <w:lang w:val="en-US"/>
                </w:rPr>
              </m:ctrlPr>
            </m:fPr>
            <m:num>
              <m:r>
                <w:rPr>
                  <w:rFonts w:ascii="Cambria Math" w:eastAsiaTheme="minorEastAsia" w:hAnsi="Cambria Math"/>
                  <w:lang w:val="en-US"/>
                </w:rPr>
                <m:t>aP</m:t>
              </m:r>
            </m:num>
            <m:den>
              <m:r>
                <w:rPr>
                  <w:rFonts w:ascii="Cambria Math" w:eastAsiaTheme="minorEastAsia" w:hAnsi="Cambria Math"/>
                  <w:lang w:val="en-US"/>
                </w:rPr>
                <m:t>H+P</m:t>
              </m:r>
            </m:den>
          </m:f>
          <m:r>
            <w:rPr>
              <w:rFonts w:ascii="Cambria Math" w:eastAsiaTheme="minorEastAsia" w:hAnsi="Cambria Math"/>
              <w:lang w:val="en-US"/>
            </w:rPr>
            <m:t>T</m:t>
          </m:r>
        </m:oMath>
      </m:oMathPara>
    </w:p>
    <w:p w14:paraId="4AA4DAE2" w14:textId="78256D94" w:rsidR="0056789D" w:rsidRPr="00BB19FC" w:rsidRDefault="00322FC7">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dP</m:t>
              </m:r>
            </m:num>
            <m:den>
              <m:r>
                <w:rPr>
                  <w:rFonts w:ascii="Cambria Math" w:eastAsiaTheme="minorEastAsia" w:hAnsi="Cambria Math"/>
                  <w:lang w:val="en-US"/>
                </w:rPr>
                <m:t>dt</m:t>
              </m:r>
            </m:den>
          </m:f>
          <m:r>
            <w:rPr>
              <w:rFonts w:ascii="Cambria Math" w:eastAsiaTheme="minorEastAsia" w:hAnsi="Cambria Math"/>
              <w:lang w:val="en-US"/>
            </w:rPr>
            <m:t>=rP</m:t>
          </m:r>
          <m:d>
            <m:dPr>
              <m:ctrlPr>
                <w:rPr>
                  <w:rFonts w:ascii="Cambria Math" w:eastAsiaTheme="minorEastAsia" w:hAnsi="Cambria Math"/>
                  <w:i/>
                  <w:lang w:val="en-US"/>
                </w:rPr>
              </m:ctrlPr>
            </m:dPr>
            <m:e>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P</m:t>
                  </m:r>
                </m:num>
                <m:den>
                  <m:r>
                    <w:rPr>
                      <w:rFonts w:ascii="Cambria Math" w:eastAsiaTheme="minorEastAsia" w:hAnsi="Cambria Math"/>
                      <w:lang w:val="en-US"/>
                    </w:rPr>
                    <m:t>K</m:t>
                  </m:r>
                </m:den>
              </m:f>
            </m:e>
          </m:d>
          <m:r>
            <w:rPr>
              <w:rFonts w:ascii="Cambria Math" w:eastAsiaTheme="minorEastAsia" w:hAnsi="Cambria Math"/>
              <w:lang w:val="en-US"/>
            </w:rPr>
            <m:t>-kPT</m:t>
          </m:r>
        </m:oMath>
      </m:oMathPara>
    </w:p>
    <w:p w14:paraId="4EE9CAF0" w14:textId="7A1B42E8" w:rsidR="00BB19FC" w:rsidRDefault="00BB19FC">
      <w:pPr>
        <w:rPr>
          <w:rFonts w:eastAsiaTheme="minorEastAsia"/>
          <w:lang w:val="en-US"/>
        </w:rPr>
      </w:pPr>
    </w:p>
    <w:p w14:paraId="02E2C9CD" w14:textId="1D64A6D9" w:rsidR="00BB19FC" w:rsidRDefault="00BB19FC">
      <w:pPr>
        <w:rPr>
          <w:rFonts w:eastAsiaTheme="minorEastAsia"/>
          <w:lang w:val="en-US"/>
        </w:rPr>
      </w:pPr>
      <w:r>
        <w:rPr>
          <w:rFonts w:eastAsiaTheme="minorEastAsia"/>
          <w:lang w:val="en-US"/>
        </w:rPr>
        <w:t xml:space="preserve">This is obviously quite simple and assumes that T cell proliferation is dependent only on the abundance of </w:t>
      </w:r>
      <w:proofErr w:type="gramStart"/>
      <w:r>
        <w:rPr>
          <w:rFonts w:eastAsiaTheme="minorEastAsia"/>
          <w:lang w:val="en-US"/>
        </w:rPr>
        <w:t>parasites, and</w:t>
      </w:r>
      <w:proofErr w:type="gramEnd"/>
      <w:r>
        <w:rPr>
          <w:rFonts w:eastAsiaTheme="minorEastAsia"/>
          <w:lang w:val="en-US"/>
        </w:rPr>
        <w:t xml:space="preserve"> has a loss term as if parasites were actually removing T cells, rather than suppressing T cell proliferation. The simplest way to integrate parasites into the T cell model above</w:t>
      </w:r>
      <w:r w:rsidR="00BB419E">
        <w:rPr>
          <w:rFonts w:eastAsiaTheme="minorEastAsia"/>
          <w:lang w:val="en-US"/>
        </w:rPr>
        <w:t xml:space="preserve"> (</w:t>
      </w:r>
      <w:r>
        <w:rPr>
          <w:rFonts w:eastAsiaTheme="minorEastAsia"/>
          <w:lang w:val="en-US"/>
        </w:rPr>
        <w:t>using model 3</w:t>
      </w:r>
      <w:r w:rsidR="00BB419E">
        <w:rPr>
          <w:rFonts w:eastAsiaTheme="minorEastAsia"/>
          <w:lang w:val="en-US"/>
        </w:rPr>
        <w:t xml:space="preserve"> as an example</w:t>
      </w:r>
      <w:r>
        <w:rPr>
          <w:rFonts w:eastAsiaTheme="minorEastAsia"/>
          <w:lang w:val="en-US"/>
        </w:rPr>
        <w:t xml:space="preserve">) is </w:t>
      </w:r>
      <w:r w:rsidR="00BB419E">
        <w:rPr>
          <w:rFonts w:eastAsiaTheme="minorEastAsia"/>
          <w:lang w:val="en-US"/>
        </w:rPr>
        <w:t xml:space="preserve">something like </w:t>
      </w:r>
      <w:r>
        <w:rPr>
          <w:rFonts w:eastAsiaTheme="minorEastAsia"/>
          <w:lang w:val="en-US"/>
        </w:rPr>
        <w:t>the following:</w:t>
      </w:r>
    </w:p>
    <w:p w14:paraId="39619718" w14:textId="77777777" w:rsidR="00BB419E" w:rsidRDefault="00BB419E">
      <w:pPr>
        <w:rPr>
          <w:rFonts w:eastAsiaTheme="minorEastAsia"/>
          <w:lang w:val="en-US"/>
        </w:rPr>
      </w:pPr>
    </w:p>
    <w:p w14:paraId="7EA42879" w14:textId="5F56FFC4" w:rsidR="00BB19FC" w:rsidRPr="00BB419E" w:rsidRDefault="00322FC7" w:rsidP="00BB19FC">
      <w:pPr>
        <w:rPr>
          <w:rFonts w:eastAsiaTheme="minorEastAsia"/>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(P)+</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d>
                </m:e>
                <m:sup>
                  <m:r>
                    <w:rPr>
                      <w:rFonts w:ascii="Cambria Math" w:hAnsi="Cambria Math"/>
                      <w:lang w:val="en-US"/>
                    </w:rPr>
                    <m:t>2</m:t>
                  </m:r>
                </m:sup>
              </m:sSup>
            </m:num>
            <m:den>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(P)+</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d>
                </m:e>
                <m:sup>
                  <m:r>
                    <w:rPr>
                      <w:rFonts w:ascii="Cambria Math" w:hAnsi="Cambria Math"/>
                      <w:lang w:val="en-US"/>
                    </w:rPr>
                    <m:t>2</m:t>
                  </m:r>
                </m:sup>
              </m:sSup>
            </m:den>
          </m:f>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12</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den>
          </m:f>
          <m:r>
            <w:rPr>
              <w:rFonts w:ascii="Cambria Math" w:hAnsi="Cambria Math"/>
              <w:lang w:val="en-US"/>
            </w:rPr>
            <m:t xml:space="preserve">-m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oMath>
      </m:oMathPara>
    </w:p>
    <w:p w14:paraId="3233E424" w14:textId="77777777" w:rsidR="00BB419E" w:rsidRPr="00BB19FC" w:rsidRDefault="00BB419E" w:rsidP="00BB19FC">
      <w:pPr>
        <w:rPr>
          <w:rFonts w:eastAsiaTheme="minorEastAsia"/>
          <w:lang w:val="en-US"/>
        </w:rPr>
      </w:pPr>
    </w:p>
    <w:p w14:paraId="53C1D59E" w14:textId="3B2D0665" w:rsidR="00BB19FC" w:rsidRPr="00BB419E" w:rsidRDefault="00322FC7" w:rsidP="00BB19FC">
      <w:pPr>
        <w:rPr>
          <w:rFonts w:eastAsiaTheme="minorEastAsia"/>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(P)+</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e>
                  </m:d>
                </m:e>
                <m:sup>
                  <m:r>
                    <w:rPr>
                      <w:rFonts w:ascii="Cambria Math" w:hAnsi="Cambria Math"/>
                      <w:lang w:val="en-US"/>
                    </w:rPr>
                    <m:t>2</m:t>
                  </m:r>
                </m:sup>
              </m:sSup>
            </m:num>
            <m:den>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(P)+</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e>
                  </m:d>
                </m:e>
                <m:sup>
                  <m:r>
                    <w:rPr>
                      <w:rFonts w:ascii="Cambria Math" w:hAnsi="Cambria Math"/>
                      <w:lang w:val="en-US"/>
                    </w:rPr>
                    <m:t>2</m:t>
                  </m:r>
                </m:sup>
              </m:sSup>
            </m:den>
          </m:f>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21</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21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den>
          </m:f>
          <m:r>
            <w:rPr>
              <w:rFonts w:ascii="Cambria Math" w:hAnsi="Cambria Math"/>
              <w:lang w:val="en-US"/>
            </w:rPr>
            <m:t xml:space="preserve">-m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oMath>
      </m:oMathPara>
    </w:p>
    <w:p w14:paraId="7C2D9201" w14:textId="77777777" w:rsidR="00BB419E" w:rsidRPr="00BB419E" w:rsidRDefault="00BB419E" w:rsidP="00BB19FC">
      <w:pPr>
        <w:rPr>
          <w:rFonts w:eastAsiaTheme="minorEastAsia"/>
          <w:lang w:val="en-US"/>
        </w:rPr>
      </w:pPr>
    </w:p>
    <w:p w14:paraId="1C38BFBB" w14:textId="7B473582" w:rsidR="00BB419E" w:rsidRPr="00BB419E" w:rsidRDefault="00322FC7" w:rsidP="00BB19FC">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dP</m:t>
              </m:r>
            </m:num>
            <m:den>
              <m:r>
                <w:rPr>
                  <w:rFonts w:ascii="Cambria Math" w:eastAsiaTheme="minorEastAsia" w:hAnsi="Cambria Math"/>
                  <w:lang w:val="en-US"/>
                </w:rPr>
                <m:t>dt</m:t>
              </m:r>
            </m:den>
          </m:f>
          <m:r>
            <w:rPr>
              <w:rFonts w:ascii="Cambria Math" w:eastAsiaTheme="minorEastAsia" w:hAnsi="Cambria Math"/>
              <w:lang w:val="en-US"/>
            </w:rPr>
            <m:t>= rP</m:t>
          </m:r>
          <m:d>
            <m:dPr>
              <m:ctrlPr>
                <w:rPr>
                  <w:rFonts w:ascii="Cambria Math" w:eastAsiaTheme="minorEastAsia" w:hAnsi="Cambria Math"/>
                  <w:i/>
                  <w:lang w:val="en-US"/>
                </w:rPr>
              </m:ctrlPr>
            </m:dPr>
            <m:e>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P</m:t>
                  </m:r>
                </m:num>
                <m:den>
                  <m:r>
                    <w:rPr>
                      <w:rFonts w:ascii="Cambria Math" w:eastAsiaTheme="minorEastAsia" w:hAnsi="Cambria Math"/>
                      <w:lang w:val="en-US"/>
                    </w:rPr>
                    <m:t>K</m:t>
                  </m:r>
                </m:den>
              </m:f>
            </m:e>
          </m:d>
          <m:r>
            <w:rPr>
              <w:rFonts w:ascii="Cambria Math" w:eastAsiaTheme="minorEastAsia" w:hAnsi="Cambria Math"/>
              <w:lang w:val="en-US"/>
            </w:rPr>
            <m:t>-kP</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oMath>
      </m:oMathPara>
    </w:p>
    <w:p w14:paraId="75DCB3E2" w14:textId="4400DA0C" w:rsidR="00BB419E" w:rsidRDefault="00BB419E" w:rsidP="00BB19FC">
      <w:pPr>
        <w:rPr>
          <w:rFonts w:eastAsiaTheme="minorEastAsia"/>
          <w:lang w:val="en-US"/>
        </w:rPr>
      </w:pPr>
      <w:r>
        <w:rPr>
          <w:rFonts w:eastAsiaTheme="minorEastAsia"/>
          <w:lang w:val="en-US"/>
        </w:rPr>
        <w:t xml:space="preserve">Where the functions </w:t>
      </w: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1</m:t>
            </m:r>
          </m:sub>
        </m:sSub>
        <m:r>
          <w:rPr>
            <w:rFonts w:ascii="Cambria Math" w:eastAsiaTheme="minorEastAsia" w:hAnsi="Cambria Math"/>
            <w:lang w:val="en-US"/>
          </w:rPr>
          <m:t>(P)</m:t>
        </m:r>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2</m:t>
            </m:r>
          </m:sub>
        </m:sSub>
        <m:r>
          <w:rPr>
            <w:rFonts w:ascii="Cambria Math" w:eastAsiaTheme="minorEastAsia" w:hAnsi="Cambria Math"/>
            <w:lang w:val="en-US"/>
          </w:rPr>
          <m:t>(P)</m:t>
        </m:r>
      </m:oMath>
      <w:r>
        <w:rPr>
          <w:rFonts w:eastAsiaTheme="minorEastAsia"/>
          <w:lang w:val="en-US"/>
        </w:rPr>
        <w:t xml:space="preserve"> are the parasites contribution to T cell proliferation. This could be a simple linear function, or a saturating function, whichever makes more sense.</w:t>
      </w:r>
    </w:p>
    <w:p w14:paraId="6FB9C863" w14:textId="4549697D" w:rsidR="00BB419E" w:rsidRDefault="00BB419E" w:rsidP="00BB19FC">
      <w:pPr>
        <w:rPr>
          <w:rFonts w:eastAsiaTheme="minorEastAsia"/>
          <w:lang w:val="en-US"/>
        </w:rPr>
      </w:pPr>
    </w:p>
    <w:p w14:paraId="2C60AD10" w14:textId="7E329573" w:rsidR="00BB419E" w:rsidRPr="004D470A" w:rsidRDefault="00BB419E" w:rsidP="00BB19FC">
      <w:pPr>
        <w:rPr>
          <w:rFonts w:eastAsiaTheme="minorEastAsia"/>
          <w:lang w:val="en-US"/>
        </w:rPr>
      </w:pPr>
      <w:r>
        <w:rPr>
          <w:rFonts w:eastAsiaTheme="minorEastAsia"/>
          <w:lang w:val="en-US"/>
        </w:rPr>
        <w:t xml:space="preserve">One question to address is whether the simple immune-parasite model should have an amended form that makes the immune dynamics of that model a bit closer to the form of the T cell model (e.g., making T cell proliferation dependent on T cell abundance as well as parasite abundance, having parasite manipulation come in the form of a reduction in proliferation rate rather than a loss term). </w:t>
      </w:r>
    </w:p>
    <w:p w14:paraId="354283AA" w14:textId="77777777" w:rsidR="00BB19FC" w:rsidRPr="004D470A" w:rsidRDefault="00BB19FC" w:rsidP="00BB19FC">
      <w:pPr>
        <w:rPr>
          <w:rFonts w:eastAsiaTheme="minorEastAsia"/>
          <w:lang w:val="en-US"/>
        </w:rPr>
      </w:pPr>
    </w:p>
    <w:p w14:paraId="0FC5E623" w14:textId="77777777" w:rsidR="00BB19FC" w:rsidRPr="0078289D" w:rsidRDefault="00BB19FC">
      <w:pPr>
        <w:rPr>
          <w:rFonts w:eastAsiaTheme="minorEastAsia"/>
          <w:lang w:val="en-US"/>
        </w:rPr>
      </w:pPr>
    </w:p>
    <w:sectPr w:rsidR="00BB19FC" w:rsidRPr="0078289D" w:rsidSect="00E77D3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70A"/>
    <w:rsid w:val="000648F5"/>
    <w:rsid w:val="00150C3B"/>
    <w:rsid w:val="001B1BD2"/>
    <w:rsid w:val="0027422A"/>
    <w:rsid w:val="002A59EE"/>
    <w:rsid w:val="002F06B4"/>
    <w:rsid w:val="003140AB"/>
    <w:rsid w:val="00322FC7"/>
    <w:rsid w:val="00364D25"/>
    <w:rsid w:val="004005A1"/>
    <w:rsid w:val="004D470A"/>
    <w:rsid w:val="004E3FCF"/>
    <w:rsid w:val="0056789D"/>
    <w:rsid w:val="00581150"/>
    <w:rsid w:val="005914BA"/>
    <w:rsid w:val="005C4490"/>
    <w:rsid w:val="005D4F45"/>
    <w:rsid w:val="0068306A"/>
    <w:rsid w:val="006A755D"/>
    <w:rsid w:val="007717AE"/>
    <w:rsid w:val="0078289D"/>
    <w:rsid w:val="00AA0280"/>
    <w:rsid w:val="00B22BAB"/>
    <w:rsid w:val="00BB19FC"/>
    <w:rsid w:val="00BB419E"/>
    <w:rsid w:val="00BC6988"/>
    <w:rsid w:val="00BE2C6B"/>
    <w:rsid w:val="00D13B79"/>
    <w:rsid w:val="00D164F9"/>
    <w:rsid w:val="00D634CE"/>
    <w:rsid w:val="00D90537"/>
    <w:rsid w:val="00E77D3F"/>
    <w:rsid w:val="00F45284"/>
    <w:rsid w:val="00F653E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61836F7"/>
  <w15:chartTrackingRefBased/>
  <w15:docId w15:val="{EC09884C-1800-7F45-B217-B196B0032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47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image" Target="media/image1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2279</Words>
  <Characters>12994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 Cressler</dc:creator>
  <cp:keywords/>
  <dc:description/>
  <cp:lastModifiedBy>Clay Cressler</cp:lastModifiedBy>
  <cp:revision>2</cp:revision>
  <dcterms:created xsi:type="dcterms:W3CDTF">2020-08-20T22:27:00Z</dcterms:created>
  <dcterms:modified xsi:type="dcterms:W3CDTF">2020-08-20T22:27:00Z</dcterms:modified>
</cp:coreProperties>
</file>