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225116" w14:textId="7A1B5F51" w:rsidR="00852AD3" w:rsidRDefault="00852AD3">
      <w:pPr>
        <w:rPr>
          <w:b/>
          <w:bCs/>
        </w:rPr>
      </w:pPr>
      <w:r>
        <w:rPr>
          <w:b/>
          <w:bCs/>
        </w:rPr>
        <w:t>Methods</w:t>
      </w:r>
    </w:p>
    <w:p w14:paraId="6BBEA564" w14:textId="584F11A7" w:rsidR="00852AD3" w:rsidRDefault="00852AD3">
      <w:r>
        <w:t>To study the epidemiological and evolutionary consequences of stochasticity in host immune state, we nest a within-host model of the interaction between parasites and the adaptive immune system (</w:t>
      </w:r>
      <w:proofErr w:type="spellStart"/>
      <w:r>
        <w:t>Cressler</w:t>
      </w:r>
      <w:proofErr w:type="spellEnd"/>
      <w:r>
        <w:t xml:space="preserve"> et al. 2024) into a simple </w:t>
      </w:r>
      <w:r w:rsidR="00BF54E6">
        <w:t>susceptible-infected (</w:t>
      </w:r>
      <w:r>
        <w:t>SI</w:t>
      </w:r>
      <w:r w:rsidR="00BF54E6">
        <w:t>)</w:t>
      </w:r>
      <w:r>
        <w:t xml:space="preserve"> epidemiological model. </w:t>
      </w:r>
      <w:r w:rsidR="00BF54E6" w:rsidRPr="00BF54E6">
        <w:t>We use a Gillespie algorithm to stochastically simulate coupled within-host and between-host dynamics</w:t>
      </w:r>
      <w:r w:rsidR="00316051">
        <w:t xml:space="preserve">, leading to a stochastic, individual-based model with an underlying deterministic skeleton (DeLong and </w:t>
      </w:r>
      <w:proofErr w:type="spellStart"/>
      <w:r w:rsidR="00316051">
        <w:t>Cressler</w:t>
      </w:r>
      <w:proofErr w:type="spellEnd"/>
      <w:r w:rsidR="00316051">
        <w:t xml:space="preserve"> 2023)</w:t>
      </w:r>
      <w:r w:rsidR="00BF54E6" w:rsidRPr="00BF54E6">
        <w:t>.</w:t>
      </w:r>
      <w:r w:rsidR="00BF54E6">
        <w:t xml:space="preserve"> The underlying deterministic </w:t>
      </w:r>
      <w:r>
        <w:t>within-host model we consider is</w:t>
      </w:r>
      <w:r w:rsidR="00B276C9">
        <w:t>:</w:t>
      </w:r>
    </w:p>
    <w:p w14:paraId="5EDF77DD" w14:textId="77777777" w:rsidR="00BF54E6" w:rsidRDefault="00BF54E6"/>
    <w:p w14:paraId="60617D07" w14:textId="77777777" w:rsidR="00C12C1A" w:rsidRDefault="00C12C1A" w:rsidP="00852AD3">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1D3A81" w14:paraId="639F3744" w14:textId="77777777" w:rsidTr="001D3A81">
        <w:tc>
          <w:tcPr>
            <w:tcW w:w="8905" w:type="dxa"/>
          </w:tcPr>
          <w:p w14:paraId="59EE0B0B" w14:textId="77777777" w:rsidR="001D3A81" w:rsidRPr="00C47D5D" w:rsidRDefault="001D3A81"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1C2A80B6" w14:textId="77777777" w:rsidR="001D3A81" w:rsidRDefault="001D3A81" w:rsidP="001D3A81">
            <w:pPr>
              <w:jc w:val="both"/>
              <w:rPr>
                <w:rFonts w:ascii="Arial" w:hAnsi="Arial" w:cs="Arial"/>
                <w:sz w:val="22"/>
                <w:szCs w:val="22"/>
                <w:lang w:val="en-GB"/>
              </w:rPr>
            </w:pPr>
          </w:p>
          <w:p w14:paraId="2598862F" w14:textId="77777777" w:rsidR="001D3A81" w:rsidRPr="00830364" w:rsidRDefault="001D3A81"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67607829" w14:textId="77777777" w:rsidR="001D3A81" w:rsidRDefault="001D3A81" w:rsidP="001D3A81">
            <w:pPr>
              <w:jc w:val="both"/>
              <w:rPr>
                <w:rFonts w:ascii="Arial" w:hAnsi="Arial" w:cs="Arial"/>
                <w:sz w:val="22"/>
                <w:szCs w:val="22"/>
                <w:lang w:val="en-GB"/>
              </w:rPr>
            </w:pPr>
          </w:p>
          <w:p w14:paraId="5B68F090" w14:textId="73A77210" w:rsidR="001D3A81" w:rsidRPr="001D3A81" w:rsidRDefault="001D3A81" w:rsidP="00852AD3">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63E1AC63" w14:textId="28809F0C" w:rsidR="001D3A81" w:rsidRDefault="001D3A81" w:rsidP="001D3A81">
            <w:pPr>
              <w:jc w:val="center"/>
              <w:rPr>
                <w:rFonts w:ascii="Arial" w:hAnsi="Arial" w:cs="Arial"/>
                <w:sz w:val="22"/>
                <w:szCs w:val="22"/>
                <w:lang w:val="en-GB"/>
              </w:rPr>
            </w:pPr>
            <w:r>
              <w:rPr>
                <w:rFonts w:ascii="Arial" w:hAnsi="Arial" w:cs="Arial"/>
                <w:sz w:val="22"/>
                <w:szCs w:val="22"/>
                <w:lang w:val="en-GB"/>
              </w:rPr>
              <w:t>(1)</w:t>
            </w:r>
          </w:p>
        </w:tc>
      </w:tr>
    </w:tbl>
    <w:p w14:paraId="0F5DCC96" w14:textId="77777777" w:rsidR="001D3A81" w:rsidRDefault="001D3A81" w:rsidP="00852AD3">
      <w:pPr>
        <w:jc w:val="both"/>
        <w:rPr>
          <w:rFonts w:ascii="Arial" w:hAnsi="Arial" w:cs="Arial"/>
          <w:sz w:val="22"/>
          <w:szCs w:val="22"/>
          <w:lang w:val="en-GB"/>
        </w:rPr>
      </w:pPr>
    </w:p>
    <w:p w14:paraId="3580AE67" w14:textId="77777777" w:rsidR="001D3A81" w:rsidRPr="005A14BE" w:rsidRDefault="001D3A81" w:rsidP="00852AD3">
      <w:pPr>
        <w:jc w:val="both"/>
        <w:rPr>
          <w:rFonts w:ascii="Arial" w:hAnsi="Arial" w:cs="Arial"/>
          <w:sz w:val="22"/>
          <w:szCs w:val="22"/>
          <w:lang w:val="en-GB"/>
        </w:rPr>
      </w:pPr>
    </w:p>
    <w:p w14:paraId="7E29778E" w14:textId="4622C172" w:rsidR="00852AD3" w:rsidRDefault="00B276C9">
      <w:pPr>
        <w:rPr>
          <w:rFonts w:eastAsiaTheme="minorEastAsia"/>
        </w:rPr>
      </w:pPr>
      <w:r>
        <w:t xml:space="preserve">Full details </w:t>
      </w:r>
      <w:r w:rsidR="00BF54E6">
        <w:t xml:space="preserve">and analysis </w:t>
      </w:r>
      <w:r>
        <w:t xml:space="preserve">of this model can be found in </w:t>
      </w:r>
      <w:proofErr w:type="spellStart"/>
      <w:r>
        <w:t>Cressler</w:t>
      </w:r>
      <w:proofErr w:type="spellEnd"/>
      <w:r>
        <w:t xml:space="preserve">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The T-helper cell populations expand due to external activation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T</w:t>
      </w:r>
      <w:r w:rsidR="00AD0464">
        <w:rPr>
          <w:rFonts w:eastAsiaTheme="minorEastAsia"/>
        </w:rPr>
        <w:t xml:space="preserve">he self-activation and cross-inhibition functions phenomenologically capture the cytokine-dependent interactions that occur between Th1 and Th2 </w:t>
      </w:r>
      <w:r w:rsidR="00EF5462">
        <w:rPr>
          <w:rFonts w:eastAsiaTheme="minorEastAsia"/>
        </w:rPr>
        <w:t>cells</w:t>
      </w:r>
      <w:r w:rsidR="00AD0464">
        <w:rPr>
          <w:rFonts w:eastAsiaTheme="minorEastAsia"/>
        </w:rPr>
        <w:t xml:space="preserve"> (Yates et al. 2004, can den Ham and de Boer 2008, </w:t>
      </w:r>
      <w:proofErr w:type="spellStart"/>
      <w:r w:rsidR="00AD0464">
        <w:rPr>
          <w:rFonts w:eastAsiaTheme="minorEastAsia"/>
        </w:rPr>
        <w:t>Schrom</w:t>
      </w:r>
      <w:proofErr w:type="spellEnd"/>
      <w:r w:rsidR="00AD0464">
        <w:rPr>
          <w:rFonts w:eastAsiaTheme="minorEastAsia"/>
        </w:rPr>
        <w:t xml:space="preserve"> et al. 2020). Parasite biomass increases through density-dependent growth at a maximum rate </w:t>
      </w:r>
      <m:oMath>
        <m:r>
          <w:rPr>
            <w:rFonts w:ascii="Cambria Math" w:eastAsiaTheme="minorEastAsia" w:hAnsi="Cambria Math"/>
          </w:rPr>
          <m:t>r</m:t>
        </m:r>
      </m:oMath>
      <w:r w:rsidR="00AD0464">
        <w:rPr>
          <w:rFonts w:eastAsiaTheme="minorEastAsia"/>
        </w:rPr>
        <w:t xml:space="preserve">, scaled by the per-parasite virulence, </w:t>
      </w:r>
      <m:oMath>
        <m:r>
          <w:rPr>
            <w:rFonts w:ascii="Cambria Math" w:eastAsiaTheme="minorEastAsia" w:hAnsi="Cambria Math"/>
          </w:rPr>
          <m:t>v</m:t>
        </m:r>
      </m:oMath>
      <w:r w:rsidR="00AD0464">
        <w:rPr>
          <w:rFonts w:eastAsiaTheme="minorEastAsia"/>
        </w:rPr>
        <w:t xml:space="preserve">, and parasite biomass growth is inhibited due to the action of Th2 cells at a maximum per-T-cell rate of </w:t>
      </w:r>
      <m:oMath>
        <m:r>
          <w:rPr>
            <w:rFonts w:ascii="Cambria Math" w:eastAsiaTheme="minorEastAsia" w:hAnsi="Cambria Math"/>
          </w:rPr>
          <m:t>a</m:t>
        </m:r>
      </m:oMath>
      <w:r w:rsidR="00AD0464">
        <w:rPr>
          <w:rFonts w:eastAsiaTheme="minorEastAsia"/>
        </w:rPr>
        <w:t xml:space="preserve">. The positive feedback loops created by self-activation, cross-inhibition, and the parasite’s ability to induce both Th1 and Th2 responses make the dynamics of this system </w:t>
      </w:r>
      <w:proofErr w:type="spellStart"/>
      <w:r w:rsidR="00AD0464">
        <w:rPr>
          <w:rFonts w:eastAsiaTheme="minorEastAsia"/>
        </w:rPr>
        <w:t>multistable</w:t>
      </w:r>
      <w:proofErr w:type="spellEnd"/>
      <w:r w:rsidR="00AD0464">
        <w:rPr>
          <w:rFonts w:eastAsiaTheme="minorEastAsia"/>
        </w:rPr>
        <w:t>: the ultimate outcome of the interaction depends on both the parameters of the model and the initial starting conditions (</w:t>
      </w:r>
      <w:proofErr w:type="spellStart"/>
      <w:r w:rsidR="00AD0464">
        <w:rPr>
          <w:rFonts w:eastAsiaTheme="minorEastAsia"/>
        </w:rPr>
        <w:t>Cressler</w:t>
      </w:r>
      <w:proofErr w:type="spellEnd"/>
      <w:r w:rsidR="00AD0464">
        <w:rPr>
          <w:rFonts w:eastAsiaTheme="minorEastAsia"/>
        </w:rPr>
        <w:t xml:space="preserve"> et al. 2024). Table 1 gives the baseline parameters we use for this study. Note that these parameters are not derived for any </w:t>
      </w:r>
      <w:proofErr w:type="gramStart"/>
      <w:r w:rsidR="00AD0464">
        <w:rPr>
          <w:rFonts w:eastAsiaTheme="minorEastAsia"/>
        </w:rPr>
        <w:t>particular system</w:t>
      </w:r>
      <w:proofErr w:type="gramEnd"/>
      <w:r w:rsidR="00AD0464">
        <w:rPr>
          <w:rFonts w:eastAsiaTheme="minorEastAsia"/>
        </w:rPr>
        <w:t>, but rather were chosen because of the rich but biologically plausible outcomes they produce (see Fig. 1).</w:t>
      </w:r>
    </w:p>
    <w:p w14:paraId="19ABD725" w14:textId="77777777" w:rsidR="00EF5462" w:rsidRDefault="00EF5462">
      <w:pPr>
        <w:rPr>
          <w:rFonts w:eastAsiaTheme="minorEastAsia"/>
        </w:rPr>
      </w:pPr>
    </w:p>
    <w:p w14:paraId="17577F44" w14:textId="42698116" w:rsidR="00EF5462" w:rsidRDefault="00EF5462">
      <w:pPr>
        <w:rPr>
          <w:rFonts w:eastAsiaTheme="minorEastAsia"/>
        </w:rPr>
      </w:pPr>
      <w:r>
        <w:rPr>
          <w:rFonts w:eastAsiaTheme="minorEastAsia"/>
        </w:rPr>
        <w:t xml:space="preserve">The epidemiological model we consider </w:t>
      </w:r>
      <w:r w:rsidR="00BF54E6">
        <w:rPr>
          <w:rFonts w:eastAsiaTheme="minorEastAsia"/>
        </w:rPr>
        <w:t>is:</w:t>
      </w:r>
    </w:p>
    <w:tbl>
      <w:tblPr>
        <w:tblStyle w:val="TableGrid"/>
        <w:tblW w:w="0" w:type="auto"/>
        <w:tblLook w:val="04A0" w:firstRow="1" w:lastRow="0" w:firstColumn="1" w:lastColumn="0" w:noHBand="0" w:noVBand="1"/>
      </w:tblPr>
      <w:tblGrid>
        <w:gridCol w:w="8865"/>
        <w:gridCol w:w="485"/>
      </w:tblGrid>
      <w:tr w:rsidR="001D3A81" w14:paraId="1C080657" w14:textId="77777777" w:rsidTr="00C31BA9">
        <w:tc>
          <w:tcPr>
            <w:tcW w:w="8905" w:type="dxa"/>
          </w:tcPr>
          <w:p w14:paraId="2AA78A35" w14:textId="77777777" w:rsidR="001D3A81" w:rsidRPr="00BF54E6" w:rsidRDefault="001D3A81" w:rsidP="001D3A81">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rPr>
                        <w:rFonts w:ascii="Cambria Math" w:hAnsi="Cambria Math"/>
                      </w:rPr>
                      <m:t>v,P</m:t>
                    </m:r>
                  </m:e>
                </m:d>
                <m:r>
                  <w:rPr>
                    <w:rFonts w:ascii="Cambria Math" w:hAnsi="Cambria Math"/>
                  </w:rPr>
                  <m:t>cSI</m:t>
                </m:r>
              </m:oMath>
            </m:oMathPara>
          </w:p>
          <w:p w14:paraId="4D013405" w14:textId="5600B187" w:rsidR="001D3A81" w:rsidRPr="001D3A81" w:rsidRDefault="001D3A81" w:rsidP="001D3A81">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rPr>
                        <w:rFonts w:ascii="Cambria Math" w:eastAsiaTheme="minorEastAsia" w:hAnsi="Cambria Math"/>
                      </w:rPr>
                      <m:t>v,P,</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2</m:t>
                        </m:r>
                      </m:sub>
                    </m:sSub>
                  </m:e>
                </m:d>
                <m:r>
                  <w:rPr>
                    <w:rFonts w:ascii="Cambria Math" w:eastAsiaTheme="minorEastAsia" w:hAnsi="Cambria Math"/>
                  </w:rPr>
                  <m:t>I</m:t>
                </m:r>
              </m:oMath>
            </m:oMathPara>
          </w:p>
        </w:tc>
        <w:tc>
          <w:tcPr>
            <w:tcW w:w="445" w:type="dxa"/>
          </w:tcPr>
          <w:p w14:paraId="423590FD" w14:textId="327F3AD4" w:rsidR="001D3A81" w:rsidRDefault="001D3A81" w:rsidP="00C31BA9">
            <w:pPr>
              <w:jc w:val="center"/>
              <w:rPr>
                <w:rFonts w:ascii="Arial" w:hAnsi="Arial" w:cs="Arial"/>
                <w:sz w:val="22"/>
                <w:szCs w:val="22"/>
                <w:lang w:val="en-GB"/>
              </w:rPr>
            </w:pPr>
            <w:r>
              <w:rPr>
                <w:rFonts w:ascii="Arial" w:hAnsi="Arial" w:cs="Arial"/>
                <w:sz w:val="22"/>
                <w:szCs w:val="22"/>
                <w:lang w:val="en-GB"/>
              </w:rPr>
              <w:lastRenderedPageBreak/>
              <w:t>(</w:t>
            </w:r>
            <w:r>
              <w:rPr>
                <w:rFonts w:ascii="Arial" w:hAnsi="Arial" w:cs="Arial"/>
                <w:sz w:val="22"/>
                <w:szCs w:val="22"/>
                <w:lang w:val="en-GB"/>
              </w:rPr>
              <w:t>2</w:t>
            </w:r>
            <w:r>
              <w:rPr>
                <w:rFonts w:ascii="Arial" w:hAnsi="Arial" w:cs="Arial"/>
                <w:sz w:val="22"/>
                <w:szCs w:val="22"/>
                <w:lang w:val="en-GB"/>
              </w:rPr>
              <w:t>)</w:t>
            </w:r>
          </w:p>
        </w:tc>
      </w:tr>
    </w:tbl>
    <w:p w14:paraId="30B966C6" w14:textId="77777777" w:rsidR="001D3A81" w:rsidRDefault="001D3A81">
      <w:pPr>
        <w:rPr>
          <w:rFonts w:eastAsiaTheme="minorEastAsia"/>
        </w:rPr>
      </w:pPr>
    </w:p>
    <w:p w14:paraId="32B5E250" w14:textId="77777777" w:rsidR="00BF54E6" w:rsidRDefault="00BF54E6">
      <w:pPr>
        <w:rPr>
          <w:rFonts w:eastAsiaTheme="minorEastAsia"/>
        </w:rPr>
      </w:pPr>
    </w:p>
    <w:p w14:paraId="73D4BCB1" w14:textId="77777777" w:rsidR="00963DA9" w:rsidRDefault="00963DA9">
      <w:pPr>
        <w:rPr>
          <w:rFonts w:eastAsiaTheme="minorEastAsia"/>
          <w:iCs/>
        </w:rPr>
      </w:pPr>
    </w:p>
    <w:p w14:paraId="32AB88D1" w14:textId="50374812" w:rsidR="00316051" w:rsidRPr="00316051" w:rsidRDefault="00316051">
      <w:pPr>
        <w:rPr>
          <w:rFonts w:eastAsiaTheme="minorEastAsia"/>
          <w:i/>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whether a contact results in infection depends on the parasite burden in the infected host. </w:t>
      </w:r>
      <w:proofErr w:type="gramStart"/>
      <w:r w:rsidR="00301422">
        <w:rPr>
          <w:rFonts w:eastAsiaTheme="minorEastAsia"/>
          <w:iCs/>
        </w:rPr>
        <w:t>In particular, in</w:t>
      </w:r>
      <w:proofErr w:type="gramEnd"/>
      <w:r w:rsidR="00301422">
        <w:rPr>
          <w:rFonts w:eastAsiaTheme="minorEastAsia"/>
          <w:iCs/>
        </w:rPr>
        <w:t xml:space="preserve"> the IBM implementation of this model, </w:t>
      </w:r>
      <w:r w:rsidR="000C0FAF">
        <w:rPr>
          <w:rFonts w:eastAsiaTheme="minorEastAsia"/>
          <w:iCs/>
        </w:rPr>
        <w:t xml:space="preserve">the infectious dose is drawn from a Poisson distribution with mean and variance set to one-tenth of the infected host’s parasite burden at the time of infection. If the drawn dose is equal to zero, then transmission fails. The infection-induced mortality rate experienced by infected individual </w:t>
      </w:r>
      <m:oMath>
        <m:r>
          <w:rPr>
            <w:rFonts w:ascii="Cambria Math" w:eastAsiaTheme="minorEastAsia" w:hAnsi="Cambria Math"/>
          </w:rPr>
          <m:t>i</m:t>
        </m:r>
      </m:oMath>
      <w:r w:rsidR="000C0FAF">
        <w:rPr>
          <w:rFonts w:eastAsiaTheme="minorEastAsia"/>
          <w:iCs/>
        </w:rPr>
        <w:t xml:space="preserve"> 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sidR="000C0FAF">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is its burden at time </w:t>
      </w:r>
      <m:oMath>
        <m:r>
          <w:rPr>
            <w:rFonts w:ascii="Cambria Math" w:eastAsiaTheme="minorEastAsia" w:hAnsi="Cambria Math"/>
          </w:rPr>
          <m:t>t</m:t>
        </m:r>
      </m:oMath>
      <w:r w:rsidR="000C0FAF">
        <w:rPr>
          <w:rFonts w:eastAsiaTheme="minorEastAsia"/>
          <w:iCs/>
        </w:rPr>
        <w:t xml:space="preserve">. Finally, the parasite recovers from infection if parasite burden ever drops to zero, which depends on the within-host interaction between parasite growth and the immune response.  </w:t>
      </w:r>
    </w:p>
    <w:p w14:paraId="3E814986" w14:textId="77777777" w:rsidR="00852AD3" w:rsidRDefault="00852AD3"/>
    <w:p w14:paraId="1D567A28" w14:textId="7CFF48CC" w:rsidR="001D3A81" w:rsidRDefault="002F7A04" w:rsidP="001D3A81">
      <w:r>
        <w:t xml:space="preserve">As shown in </w:t>
      </w:r>
      <w:proofErr w:type="spellStart"/>
      <w:r>
        <w:t>Cressler</w:t>
      </w:r>
      <w:proofErr w:type="spellEnd"/>
      <w:r>
        <w:t xml:space="preserve"> et al. (2024) and in Fig. 1, the outcome of this within-host interaction depends critically on both the initial parasite dose (resulting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In our simulations, we vary the range of variation in the initial number of Th2 cells and assume that the initial immune state is drawn from a uniform distribution with a specified minimum and maximum</w:t>
      </w:r>
      <w:r w:rsidR="001D3A81">
        <w:t xml:space="preserve">. </w:t>
      </w:r>
      <w:proofErr w:type="gramStart"/>
      <w:r w:rsidR="003B2BD2">
        <w:t>In particular, we</w:t>
      </w:r>
      <w:proofErr w:type="gramEnd"/>
      <w:r w:rsidR="003B2BD2">
        <w:t xml:space="preserve"> hold the maximum fixed at 800 and vary the minimum. </w:t>
      </w:r>
      <w:proofErr w:type="spellStart"/>
      <w:r w:rsidR="001D3A81">
        <w:t>The</w:t>
      </w:r>
      <w:proofErr w:type="spellEnd"/>
      <w:r w:rsidR="001D3A81">
        <w:t xml:space="preserve"> total immune cell population is fixed at 1200, so the random draw determines both the initial Th1 and Th2 cell numbers.</w:t>
      </w:r>
      <w:r w:rsidR="003B2BD2">
        <w:t xml:space="preserve"> </w:t>
      </w:r>
    </w:p>
    <w:p w14:paraId="2A36FDB8" w14:textId="77777777" w:rsidR="001D3A81" w:rsidRDefault="001D3A81" w:rsidP="001D3A81"/>
    <w:p w14:paraId="780AF7CF" w14:textId="14A0D241" w:rsidR="001D3A81" w:rsidRPr="001D3A81" w:rsidRDefault="001D3A81" w:rsidP="001D3A81">
      <w:pPr>
        <w:rPr>
          <w:vertAlign w:val="superscript"/>
        </w:rPr>
      </w:pPr>
      <w:r>
        <w:t xml:space="preserve">We start each simulation with a small population of infected individuals, each with a per-parasite virulence of </w:t>
      </w:r>
      <m:oMath>
        <m:r>
          <w:rPr>
            <w:rFonts w:ascii="Cambria Math" w:hAnsi="Cambria Math"/>
          </w:rPr>
          <m:t>v=0.0001</m:t>
        </m:r>
      </m:oMath>
      <w:r>
        <w:rPr>
          <w:rFonts w:eastAsiaTheme="minorEastAsia"/>
        </w:rPr>
        <w:t xml:space="preserve">. When an infected host contacts a susceptible host, the virulence of the new infection is drawn from a lognormal distribution with mean equal to the virulence of the infecting host and a standard deviation equal to half the mean. With this model of inheritance, virulence evolution </w:t>
      </w:r>
      <w:r>
        <w:t>emerges</w:t>
      </w:r>
      <w:r>
        <w:t xml:space="preserve"> out of the stochastic processes of infection, death, and recovery</w:t>
      </w:r>
      <w:r>
        <w:t xml:space="preserve"> (</w:t>
      </w:r>
      <w:proofErr w:type="spellStart"/>
      <w:r>
        <w:t>Doebeli</w:t>
      </w:r>
      <w:proofErr w:type="spellEnd"/>
      <w:r>
        <w:t xml:space="preserve"> et al. 2017).</w:t>
      </w:r>
    </w:p>
    <w:p w14:paraId="4AF249DC" w14:textId="77777777" w:rsidR="001D3A81" w:rsidRDefault="001D3A81" w:rsidP="001D3A81"/>
    <w:p w14:paraId="7876772E" w14:textId="1EF0403F" w:rsidR="001D3A81" w:rsidRPr="001D3A81" w:rsidRDefault="001D3A81" w:rsidP="001D3A81">
      <w:pPr>
        <w:rPr>
          <w:b/>
          <w:bCs/>
        </w:rPr>
      </w:pPr>
      <w:r>
        <w:rPr>
          <w:b/>
          <w:bCs/>
        </w:rPr>
        <w:t>Results</w:t>
      </w:r>
    </w:p>
    <w:p w14:paraId="15945D16" w14:textId="77777777" w:rsidR="001D3A81" w:rsidRDefault="001D3A81" w:rsidP="001D3A81"/>
    <w:p w14:paraId="0C4F811E" w14:textId="3BE76696" w:rsidR="00370468" w:rsidRDefault="001D3A81">
      <w:pPr>
        <w:rPr>
          <w:rFonts w:eastAsiaTheme="minorEastAsia"/>
        </w:rPr>
      </w:pPr>
      <w:r>
        <w:t>F</w:t>
      </w:r>
      <w:r w:rsidR="006D05AF">
        <w:t xml:space="preserve">igure 1 shows how </w:t>
      </w:r>
      <w:r>
        <w:t>variation in the initial number of Th2 cells (from 200-800) and variation in the initial parasite dose (from 1 to 40)</w:t>
      </w:r>
      <w:r w:rsidR="006D05AF">
        <w:t xml:space="preserve"> interact to shape the </w:t>
      </w:r>
      <w:r>
        <w:t>outcome</w:t>
      </w:r>
      <w:r w:rsidR="006D05AF">
        <w:t xml:space="preserve"> of infection</w:t>
      </w:r>
      <w:r w:rsidR="003B2BD2">
        <w:t xml:space="preserve"> at the within-host level</w:t>
      </w:r>
      <w:r w:rsidR="006D05AF">
        <w:t>.</w:t>
      </w:r>
      <w:r w:rsidR="00885F91">
        <w:t xml:space="preserve"> The per-parasite virulence, </w:t>
      </w:r>
      <w:r w:rsidR="00885F91">
        <w:rPr>
          <w:i/>
          <w:iCs/>
        </w:rPr>
        <w:t>v</w:t>
      </w:r>
      <w:r w:rsidR="00885F91">
        <w:t xml:space="preserve">, is held constant at its </w:t>
      </w:r>
      <w:r w:rsidR="00852AD3">
        <w:t xml:space="preserve">initial value, </w:t>
      </w:r>
      <m:oMath>
        <m:r>
          <w:rPr>
            <w:rFonts w:ascii="Cambria Math" w:hAnsi="Cambria Math"/>
          </w:rPr>
          <m:t>v=0.0001</m:t>
        </m:r>
      </m:oMath>
      <w:r w:rsidR="00852AD3">
        <w:rPr>
          <w:rFonts w:eastAsiaTheme="minorEastAsia"/>
        </w:rPr>
        <w:t>.</w:t>
      </w:r>
      <w:r>
        <w:rPr>
          <w:rFonts w:eastAsiaTheme="minorEastAsia"/>
        </w:rPr>
        <w:t xml:space="preserve"> Fig. 1A shows the results of deterministic simulations of the within-host model (Eq. 1); Fig. 1B shows the results of stochastic simulations of the model using a Gillespie </w:t>
      </w:r>
      <w:r>
        <w:rPr>
          <w:rFonts w:eastAsiaTheme="minorEastAsia"/>
        </w:rPr>
        <w:lastRenderedPageBreak/>
        <w:t>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clearance (black). Stochasticity eliminates the high Th1, high Th2 equilibrium; instead, we see a probabilistic outcome where the probability of clearance varies between 0 and 1 for Th2 between 400-600.</w:t>
      </w:r>
    </w:p>
    <w:p w14:paraId="5C710C74" w14:textId="77777777" w:rsidR="001D3A81" w:rsidRDefault="001D3A81">
      <w:pPr>
        <w:rPr>
          <w:rFonts w:eastAsiaTheme="minorEastAsia"/>
        </w:rPr>
      </w:pPr>
    </w:p>
    <w:p w14:paraId="7203F90A" w14:textId="02A1193B" w:rsidR="001D3A81" w:rsidRDefault="003B2BD2">
      <w:r>
        <w:t xml:space="preserve">With this intuition developed, we can consider the epidemiological and evolutionary dynamics that result from different immunological landscapes, specified by varying the minimum Th2 of each infection. Fig. 2 shows the epidemiological results. </w:t>
      </w:r>
    </w:p>
    <w:p w14:paraId="2F1B9FDD" w14:textId="77777777" w:rsidR="00CD1DA5" w:rsidRDefault="00CD1DA5"/>
    <w:p w14:paraId="4C745127" w14:textId="77777777" w:rsidR="00CD1DA5" w:rsidRDefault="00CD1DA5"/>
    <w:p w14:paraId="10DC9971" w14:textId="77777777" w:rsidR="00CD1DA5" w:rsidRDefault="00CD1DA5"/>
    <w:p w14:paraId="1AEC354C" w14:textId="77777777" w:rsidR="00CD1DA5" w:rsidRDefault="00CD1DA5"/>
    <w:p w14:paraId="195DC3D2" w14:textId="77777777" w:rsidR="00CD1DA5" w:rsidRDefault="00CD1DA5"/>
    <w:p w14:paraId="2A1E6003" w14:textId="77777777" w:rsidR="00CD1DA5" w:rsidRDefault="00CD1DA5"/>
    <w:p w14:paraId="06D2BA77" w14:textId="77777777" w:rsidR="00CD1DA5" w:rsidRDefault="00CD1DA5"/>
    <w:p w14:paraId="31C2689A" w14:textId="77777777" w:rsidR="00CD1DA5" w:rsidRDefault="00CD1DA5"/>
    <w:p w14:paraId="78B5A106" w14:textId="77777777" w:rsidR="00CD1DA5" w:rsidRDefault="00CD1DA5"/>
    <w:p w14:paraId="78C52663" w14:textId="77777777" w:rsidR="00CD1DA5" w:rsidRDefault="00CD1DA5"/>
    <w:p w14:paraId="4C6E7E2A" w14:textId="30A8D3D9" w:rsidR="00CD1DA5" w:rsidRDefault="00CD1DA5">
      <w:r>
        <w:rPr>
          <w:noProof/>
        </w:rPr>
        <w:lastRenderedPageBreak/>
        <w:drawing>
          <wp:inline distT="0" distB="0" distL="0" distR="0" wp14:anchorId="57D40406" wp14:editId="1302D053">
            <wp:extent cx="5878195" cy="8229600"/>
            <wp:effectExtent l="0" t="0" r="1905" b="0"/>
            <wp:docPr id="153458332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83324" name="Picture 1" descr="A screenshot of a graph&#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878195" cy="8229600"/>
                    </a:xfrm>
                    <a:prstGeom prst="rect">
                      <a:avLst/>
                    </a:prstGeom>
                  </pic:spPr>
                </pic:pic>
              </a:graphicData>
            </a:graphic>
          </wp:inline>
        </w:drawing>
      </w:r>
    </w:p>
    <w:p w14:paraId="62917580" w14:textId="77777777" w:rsidR="00CD1DA5" w:rsidRDefault="00CD1DA5"/>
    <w:p w14:paraId="4A8DF440" w14:textId="77777777" w:rsidR="00CD1DA5" w:rsidRDefault="00CD1DA5"/>
    <w:p w14:paraId="2993109F" w14:textId="77777777" w:rsidR="00CD1DA5" w:rsidRDefault="00CD1DA5"/>
    <w:p w14:paraId="0FC5961F" w14:textId="77777777" w:rsidR="00CD1DA5" w:rsidRDefault="00CD1DA5"/>
    <w:p w14:paraId="195E6853" w14:textId="03217FED" w:rsidR="00370468" w:rsidRDefault="00370468">
      <w:r>
        <w:t>Table 1</w:t>
      </w:r>
      <w:r w:rsidR="00852AD3">
        <w:t>:</w:t>
      </w:r>
      <w:r>
        <w:t xml:space="preserve"> Model parameters</w:t>
      </w:r>
    </w:p>
    <w:tbl>
      <w:tblPr>
        <w:tblStyle w:val="TableGrid"/>
        <w:tblW w:w="0" w:type="auto"/>
        <w:tblLook w:val="04A0" w:firstRow="1" w:lastRow="0" w:firstColumn="1" w:lastColumn="0" w:noHBand="0" w:noVBand="1"/>
      </w:tblPr>
      <w:tblGrid>
        <w:gridCol w:w="3116"/>
        <w:gridCol w:w="3117"/>
        <w:gridCol w:w="3117"/>
      </w:tblGrid>
      <w:tr w:rsidR="00370468" w14:paraId="76718A35" w14:textId="77777777" w:rsidTr="00370468">
        <w:tc>
          <w:tcPr>
            <w:tcW w:w="3116" w:type="dxa"/>
          </w:tcPr>
          <w:p w14:paraId="09C6595C" w14:textId="5083FA8E" w:rsidR="00370468" w:rsidRDefault="00370468">
            <w:r>
              <w:t>Parameter</w:t>
            </w:r>
          </w:p>
        </w:tc>
        <w:tc>
          <w:tcPr>
            <w:tcW w:w="3117" w:type="dxa"/>
          </w:tcPr>
          <w:p w14:paraId="195ED0B4" w14:textId="62C666F6" w:rsidR="00370468" w:rsidRDefault="00370468">
            <w:r>
              <w:t>Parameter interpretation</w:t>
            </w:r>
          </w:p>
        </w:tc>
        <w:tc>
          <w:tcPr>
            <w:tcW w:w="3117" w:type="dxa"/>
          </w:tcPr>
          <w:p w14:paraId="6579384B" w14:textId="05D0715A" w:rsidR="00370468" w:rsidRDefault="00370468">
            <w:r>
              <w:t>Value</w:t>
            </w:r>
          </w:p>
        </w:tc>
      </w:tr>
      <w:tr w:rsidR="00370468" w14:paraId="53D5451B" w14:textId="77777777" w:rsidTr="00370468">
        <w:tc>
          <w:tcPr>
            <w:tcW w:w="3116" w:type="dxa"/>
          </w:tcPr>
          <w:p w14:paraId="7CD001D8" w14:textId="0F0D6DEE" w:rsidR="00370468" w:rsidRPr="00370468" w:rsidRDefault="00370468">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52E3BF91" w14:textId="15A3480A" w:rsidR="00370468" w:rsidRPr="00370468" w:rsidRDefault="003E03E5">
            <w:r>
              <w:t>External</w:t>
            </w:r>
            <w:r w:rsidR="00370468">
              <w:t xml:space="preserve"> activation rate of Th-</w:t>
            </w:r>
            <m:oMath>
              <m:r>
                <w:rPr>
                  <w:rFonts w:ascii="Cambria Math" w:hAnsi="Cambria Math"/>
                </w:rPr>
                <m:t>i</m:t>
              </m:r>
            </m:oMath>
            <w:r w:rsidR="00370468">
              <w:rPr>
                <w:i/>
                <w:iCs/>
              </w:rPr>
              <w:t xml:space="preserve"> </w:t>
            </w:r>
            <w:r w:rsidR="00370468">
              <w:t>response</w:t>
            </w:r>
          </w:p>
        </w:tc>
        <w:tc>
          <w:tcPr>
            <w:tcW w:w="3117" w:type="dxa"/>
          </w:tcPr>
          <w:p w14:paraId="06390083" w14:textId="687CE8CC" w:rsidR="00370468" w:rsidRDefault="00370468">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370468" w14:paraId="258566FC" w14:textId="77777777" w:rsidTr="00370468">
        <w:tc>
          <w:tcPr>
            <w:tcW w:w="3116" w:type="dxa"/>
          </w:tcPr>
          <w:p w14:paraId="37C8FA65" w14:textId="2CE647C8" w:rsidR="00370468" w:rsidRDefault="00370468">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343AC983" w14:textId="3CE6F972" w:rsidR="00370468" w:rsidRDefault="00370468">
            <w:r>
              <w:t xml:space="preserve">Maximum parasite biomass-induced activation rate of </w:t>
            </w:r>
            <w:r>
              <w:t>Th-</w:t>
            </w:r>
            <m:oMath>
              <m:r>
                <w:rPr>
                  <w:rFonts w:ascii="Cambria Math" w:hAnsi="Cambria Math"/>
                </w:rPr>
                <m:t>i</m:t>
              </m:r>
            </m:oMath>
            <w:r>
              <w:rPr>
                <w:i/>
                <w:iCs/>
              </w:rPr>
              <w:t xml:space="preserve"> </w:t>
            </w:r>
            <w:r>
              <w:t>response</w:t>
            </w:r>
          </w:p>
        </w:tc>
        <w:tc>
          <w:tcPr>
            <w:tcW w:w="3117" w:type="dxa"/>
          </w:tcPr>
          <w:p w14:paraId="6663688B" w14:textId="77777777" w:rsidR="00370468" w:rsidRPr="00370468" w:rsidRDefault="00370468">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w:rPr>
                    <w:rFonts w:ascii="Cambria Math" w:hAnsi="Cambria Math"/>
                  </w:rPr>
                  <m:t xml:space="preserve">50, </m:t>
                </m:r>
              </m:oMath>
            </m:oMathPara>
          </w:p>
          <w:p w14:paraId="4E5171BE" w14:textId="3F7AD5A8" w:rsidR="00370468" w:rsidRDefault="00370468">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r>
                  <w:rPr>
                    <w:rFonts w:ascii="Cambria Math" w:hAnsi="Cambria Math"/>
                  </w:rPr>
                  <m:t>130</m:t>
                </m:r>
              </m:oMath>
            </m:oMathPara>
          </w:p>
        </w:tc>
      </w:tr>
      <w:tr w:rsidR="00370468" w14:paraId="0399692F" w14:textId="77777777" w:rsidTr="00370468">
        <w:tc>
          <w:tcPr>
            <w:tcW w:w="3116" w:type="dxa"/>
          </w:tcPr>
          <w:p w14:paraId="09CC86AD" w14:textId="7F56AD14" w:rsidR="00370468" w:rsidRDefault="00370468">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06574603" w14:textId="44C9FD96" w:rsidR="00370468" w:rsidRDefault="00370468">
            <w:r>
              <w:t>Half-saturation constant of parasite biomass-induced activation function</w:t>
            </w:r>
          </w:p>
        </w:tc>
        <w:tc>
          <w:tcPr>
            <w:tcW w:w="3117" w:type="dxa"/>
          </w:tcPr>
          <w:p w14:paraId="5D25862E" w14:textId="5C30840E" w:rsidR="00370468" w:rsidRDefault="00370468">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r>
                  <w:rPr>
                    <w:rFonts w:ascii="Cambria Math" w:hAnsi="Cambria Math"/>
                  </w:rPr>
                  <m:t>50</m:t>
                </m:r>
              </m:oMath>
            </m:oMathPara>
          </w:p>
        </w:tc>
      </w:tr>
      <w:tr w:rsidR="00370468" w14:paraId="311CCD35" w14:textId="77777777" w:rsidTr="00370468">
        <w:tc>
          <w:tcPr>
            <w:tcW w:w="3116" w:type="dxa"/>
          </w:tcPr>
          <w:p w14:paraId="2F64D4B7" w14:textId="5B76F155" w:rsidR="00370468" w:rsidRDefault="00370468">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A414380" w14:textId="554E258D" w:rsidR="00370468" w:rsidRDefault="00370468">
            <w:r>
              <w:t xml:space="preserve">Maximum self-activation rate of </w:t>
            </w:r>
            <w:r>
              <w:t>Th-</w:t>
            </w:r>
            <m:oMath>
              <m:r>
                <w:rPr>
                  <w:rFonts w:ascii="Cambria Math" w:hAnsi="Cambria Math"/>
                </w:rPr>
                <m:t>i</m:t>
              </m:r>
            </m:oMath>
            <w:r>
              <w:rPr>
                <w:i/>
                <w:iCs/>
              </w:rPr>
              <w:t xml:space="preserve"> </w:t>
            </w:r>
            <w:r>
              <w:t>response</w:t>
            </w:r>
          </w:p>
        </w:tc>
        <w:tc>
          <w:tcPr>
            <w:tcW w:w="3117" w:type="dxa"/>
          </w:tcPr>
          <w:p w14:paraId="44C7693B" w14:textId="260F97AD" w:rsidR="00370468" w:rsidRDefault="00370468">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r>
                  <w:rPr>
                    <w:rFonts w:ascii="Cambria Math" w:hAnsi="Cambria Math"/>
                  </w:rPr>
                  <m:t>2000</m:t>
                </m:r>
              </m:oMath>
            </m:oMathPara>
          </w:p>
        </w:tc>
      </w:tr>
      <w:tr w:rsidR="00370468" w14:paraId="2CCF9C33" w14:textId="77777777" w:rsidTr="00370468">
        <w:tc>
          <w:tcPr>
            <w:tcW w:w="3116" w:type="dxa"/>
          </w:tcPr>
          <w:p w14:paraId="38F93CC0" w14:textId="444EB1A8" w:rsidR="00370468" w:rsidRDefault="00370468">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C9C6B10" w14:textId="1C720EF4" w:rsidR="00370468" w:rsidRDefault="00370468">
            <w:r>
              <w:t>Half-saturation constant of immune self-activation function</w:t>
            </w:r>
          </w:p>
        </w:tc>
        <w:tc>
          <w:tcPr>
            <w:tcW w:w="3117" w:type="dxa"/>
          </w:tcPr>
          <w:p w14:paraId="27C4326F" w14:textId="07999F9C" w:rsidR="00370468" w:rsidRDefault="00370468">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m:t>
                </m:r>
                <m:r>
                  <w:rPr>
                    <w:rFonts w:ascii="Cambria Math" w:hAnsi="Cambria Math"/>
                  </w:rPr>
                  <m:t>000</m:t>
                </m:r>
              </m:oMath>
            </m:oMathPara>
          </w:p>
        </w:tc>
      </w:tr>
      <w:tr w:rsidR="00370468" w14:paraId="1A65F8EA" w14:textId="77777777" w:rsidTr="00370468">
        <w:tc>
          <w:tcPr>
            <w:tcW w:w="3116" w:type="dxa"/>
          </w:tcPr>
          <w:p w14:paraId="33A81C22" w14:textId="35C7D5AA" w:rsidR="00370468" w:rsidRDefault="00370468">
            <m:oMathPara>
              <m:oMath>
                <m:sSub>
                  <m:sSubPr>
                    <m:ctrlPr>
                      <w:rPr>
                        <w:rFonts w:ascii="Cambria Math" w:hAnsi="Cambria Math"/>
                        <w:i/>
                      </w:rPr>
                    </m:ctrlPr>
                  </m:sSubPr>
                  <m:e>
                    <m:r>
                      <w:rPr>
                        <w:rFonts w:ascii="Cambria Math" w:hAnsi="Cambria Math"/>
                      </w:rPr>
                      <m:t>I</m:t>
                    </m:r>
                  </m:e>
                  <m:sub>
                    <m:r>
                      <w:rPr>
                        <w:rFonts w:ascii="Cambria Math" w:hAnsi="Cambria Math"/>
                      </w:rPr>
                      <m:t>i</m:t>
                    </m:r>
                    <m:r>
                      <w:rPr>
                        <w:rFonts w:ascii="Cambria Math" w:hAnsi="Cambria Math"/>
                      </w:rPr>
                      <m:t>j</m:t>
                    </m:r>
                  </m:sub>
                </m:sSub>
              </m:oMath>
            </m:oMathPara>
          </w:p>
        </w:tc>
        <w:tc>
          <w:tcPr>
            <w:tcW w:w="3117" w:type="dxa"/>
          </w:tcPr>
          <w:p w14:paraId="534C0264" w14:textId="0DA2F421" w:rsidR="00370468" w:rsidRDefault="00370468">
            <w:r>
              <w:t>Half-saturation constant of immune cross-inhibition function</w:t>
            </w:r>
          </w:p>
        </w:tc>
        <w:tc>
          <w:tcPr>
            <w:tcW w:w="3117" w:type="dxa"/>
          </w:tcPr>
          <w:p w14:paraId="26049F74" w14:textId="006BD768" w:rsidR="00370468" w:rsidRDefault="00370468">
            <m:oMathPara>
              <m:oMath>
                <m:sSub>
                  <m:sSubPr>
                    <m:ctrlPr>
                      <w:rPr>
                        <w:rFonts w:ascii="Cambria Math" w:hAnsi="Cambria Math"/>
                        <w:i/>
                      </w:rPr>
                    </m:ctrlPr>
                  </m:sSubPr>
                  <m:e>
                    <m:r>
                      <w:rPr>
                        <w:rFonts w:ascii="Cambria Math" w:hAnsi="Cambria Math"/>
                      </w:rPr>
                      <m:t>I</m:t>
                    </m: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r>
                      <w:rPr>
                        <w:rFonts w:ascii="Cambria Math" w:hAnsi="Cambria Math"/>
                      </w:rPr>
                      <m:t>1</m:t>
                    </m:r>
                  </m:sub>
                </m:sSub>
                <m:r>
                  <w:rPr>
                    <w:rFonts w:ascii="Cambria Math" w:hAnsi="Cambria Math"/>
                  </w:rPr>
                  <m:t>=1</m:t>
                </m:r>
                <m:r>
                  <w:rPr>
                    <w:rFonts w:ascii="Cambria Math" w:hAnsi="Cambria Math"/>
                  </w:rPr>
                  <m:t>0,000</m:t>
                </m:r>
              </m:oMath>
            </m:oMathPara>
          </w:p>
        </w:tc>
      </w:tr>
      <w:tr w:rsidR="00370468" w14:paraId="032C51BB" w14:textId="77777777" w:rsidTr="00370468">
        <w:tc>
          <w:tcPr>
            <w:tcW w:w="3116" w:type="dxa"/>
          </w:tcPr>
          <w:p w14:paraId="550ADF54" w14:textId="010D5B80" w:rsidR="00370468" w:rsidRDefault="003E03E5">
            <m:oMathPara>
              <m:oMath>
                <m:r>
                  <w:rPr>
                    <w:rFonts w:ascii="Cambria Math" w:hAnsi="Cambria Math"/>
                  </w:rPr>
                  <m:t>m</m:t>
                </m:r>
              </m:oMath>
            </m:oMathPara>
          </w:p>
        </w:tc>
        <w:tc>
          <w:tcPr>
            <w:tcW w:w="3117" w:type="dxa"/>
          </w:tcPr>
          <w:p w14:paraId="1D268DCF" w14:textId="387574D0" w:rsidR="00370468" w:rsidRDefault="003E03E5">
            <w:r>
              <w:t>Immune cell apoptosis rate</w:t>
            </w:r>
          </w:p>
        </w:tc>
        <w:tc>
          <w:tcPr>
            <w:tcW w:w="3117" w:type="dxa"/>
          </w:tcPr>
          <w:p w14:paraId="6B1AEE13" w14:textId="56168191" w:rsidR="00370468" w:rsidRDefault="003E03E5">
            <m:oMathPara>
              <m:oMath>
                <m:r>
                  <w:rPr>
                    <w:rFonts w:ascii="Cambria Math" w:hAnsi="Cambria Math"/>
                  </w:rPr>
                  <m:t>m</m:t>
                </m:r>
                <m:r>
                  <w:rPr>
                    <w:rFonts w:ascii="Cambria Math" w:hAnsi="Cambria Math"/>
                  </w:rPr>
                  <m:t>=0.</m:t>
                </m:r>
                <m:r>
                  <w:rPr>
                    <w:rFonts w:ascii="Cambria Math" w:hAnsi="Cambria Math"/>
                  </w:rPr>
                  <m:t>9</m:t>
                </m:r>
              </m:oMath>
            </m:oMathPara>
          </w:p>
        </w:tc>
      </w:tr>
      <w:tr w:rsidR="00370468" w14:paraId="763D4B5B" w14:textId="77777777" w:rsidTr="00370468">
        <w:tc>
          <w:tcPr>
            <w:tcW w:w="3116" w:type="dxa"/>
          </w:tcPr>
          <w:p w14:paraId="56482C1A" w14:textId="5C0D4FA9" w:rsidR="00370468" w:rsidRDefault="00B276C9">
            <m:oMathPara>
              <m:oMath>
                <m:r>
                  <w:rPr>
                    <w:rFonts w:ascii="Cambria Math" w:hAnsi="Cambria Math"/>
                  </w:rPr>
                  <m:t>r</m:t>
                </m:r>
              </m:oMath>
            </m:oMathPara>
          </w:p>
        </w:tc>
        <w:tc>
          <w:tcPr>
            <w:tcW w:w="3117" w:type="dxa"/>
          </w:tcPr>
          <w:p w14:paraId="29D0D1FE" w14:textId="7A5DD141" w:rsidR="00370468" w:rsidRDefault="003E03E5">
            <w:r>
              <w:t>Maximum parasite biomass growth rate</w:t>
            </w:r>
          </w:p>
        </w:tc>
        <w:tc>
          <w:tcPr>
            <w:tcW w:w="3117" w:type="dxa"/>
          </w:tcPr>
          <w:p w14:paraId="4B14C102" w14:textId="30258FEA" w:rsidR="00370468" w:rsidRDefault="00B276C9">
            <m:oMathPara>
              <m:oMath>
                <m:r>
                  <w:rPr>
                    <w:rFonts w:ascii="Cambria Math" w:hAnsi="Cambria Math"/>
                  </w:rPr>
                  <m:t>r</m:t>
                </m:r>
                <m:r>
                  <w:rPr>
                    <w:rFonts w:ascii="Cambria Math" w:hAnsi="Cambria Math"/>
                  </w:rPr>
                  <m:t>=8</m:t>
                </m:r>
              </m:oMath>
            </m:oMathPara>
          </w:p>
        </w:tc>
      </w:tr>
      <w:tr w:rsidR="00370468" w14:paraId="2F0C2163" w14:textId="77777777" w:rsidTr="00370468">
        <w:tc>
          <w:tcPr>
            <w:tcW w:w="3116" w:type="dxa"/>
          </w:tcPr>
          <w:p w14:paraId="2880D5E6" w14:textId="3530A244" w:rsidR="00370468" w:rsidRDefault="003E03E5">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19AAB7F" w14:textId="588C7B8C" w:rsidR="00370468" w:rsidRDefault="003E03E5">
            <w:r>
              <w:t>Half-saturation constant for the virulence—growth function</w:t>
            </w:r>
          </w:p>
        </w:tc>
        <w:tc>
          <w:tcPr>
            <w:tcW w:w="3117" w:type="dxa"/>
          </w:tcPr>
          <w:p w14:paraId="55B22A43" w14:textId="5F4EC087" w:rsidR="00370468" w:rsidRDefault="003E03E5">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370468" w14:paraId="71290481" w14:textId="77777777" w:rsidTr="00370468">
        <w:tc>
          <w:tcPr>
            <w:tcW w:w="3116" w:type="dxa"/>
          </w:tcPr>
          <w:p w14:paraId="7F698CA8" w14:textId="47A0487D" w:rsidR="00370468" w:rsidRDefault="003E03E5">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0F4603FE" w14:textId="79D881F8" w:rsidR="00370468" w:rsidRDefault="003E03E5">
            <w:r>
              <w:t>Maximum parasite biomass</w:t>
            </w:r>
          </w:p>
        </w:tc>
        <w:tc>
          <w:tcPr>
            <w:tcW w:w="3117" w:type="dxa"/>
          </w:tcPr>
          <w:p w14:paraId="0C13DD9A" w14:textId="4B765DBE" w:rsidR="00370468" w:rsidRDefault="003E03E5">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370468" w14:paraId="3C56D117" w14:textId="77777777" w:rsidTr="00370468">
        <w:tc>
          <w:tcPr>
            <w:tcW w:w="3116" w:type="dxa"/>
          </w:tcPr>
          <w:p w14:paraId="4D9EC578" w14:textId="1CDCB957" w:rsidR="00370468" w:rsidRDefault="003E03E5">
            <m:oMathPara>
              <m:oMath>
                <m:r>
                  <w:rPr>
                    <w:rFonts w:ascii="Cambria Math" w:hAnsi="Cambria Math"/>
                  </w:rPr>
                  <m:t>a</m:t>
                </m:r>
              </m:oMath>
            </m:oMathPara>
          </w:p>
        </w:tc>
        <w:tc>
          <w:tcPr>
            <w:tcW w:w="3117" w:type="dxa"/>
          </w:tcPr>
          <w:p w14:paraId="5F0A6921" w14:textId="3ADFEF8B" w:rsidR="00370468" w:rsidRDefault="003E03E5">
            <w:r>
              <w:t>Per-Th2 cell biomass inhibition rate</w:t>
            </w:r>
          </w:p>
        </w:tc>
        <w:tc>
          <w:tcPr>
            <w:tcW w:w="3117" w:type="dxa"/>
          </w:tcPr>
          <w:p w14:paraId="2D6FFD57" w14:textId="5FFFE241" w:rsidR="00370468" w:rsidRDefault="003E03E5">
            <m:oMathPara>
              <m:oMath>
                <m:r>
                  <w:rPr>
                    <w:rFonts w:ascii="Cambria Math" w:hAnsi="Cambria Math"/>
                  </w:rPr>
                  <m:t>a=0.004</m:t>
                </m:r>
              </m:oMath>
            </m:oMathPara>
          </w:p>
        </w:tc>
      </w:tr>
      <w:tr w:rsidR="00370468" w14:paraId="61A73EA5" w14:textId="77777777" w:rsidTr="00370468">
        <w:tc>
          <w:tcPr>
            <w:tcW w:w="3116" w:type="dxa"/>
          </w:tcPr>
          <w:p w14:paraId="69A03B11" w14:textId="55F6A119" w:rsidR="00370468" w:rsidRDefault="003E03E5">
            <m:oMathPara>
              <m:oMath>
                <m:r>
                  <w:rPr>
                    <w:rFonts w:ascii="Cambria Math" w:hAnsi="Cambria Math"/>
                  </w:rPr>
                  <m:t>b</m:t>
                </m:r>
              </m:oMath>
            </m:oMathPara>
          </w:p>
        </w:tc>
        <w:tc>
          <w:tcPr>
            <w:tcW w:w="3117" w:type="dxa"/>
          </w:tcPr>
          <w:p w14:paraId="4306E19A" w14:textId="49CA9DE9" w:rsidR="00370468" w:rsidRDefault="003E03E5">
            <w:r>
              <w:t>Maximum birth rate of new hosts</w:t>
            </w:r>
          </w:p>
        </w:tc>
        <w:tc>
          <w:tcPr>
            <w:tcW w:w="3117" w:type="dxa"/>
          </w:tcPr>
          <w:p w14:paraId="7A09B665" w14:textId="5A0415F7" w:rsidR="00370468" w:rsidRDefault="003E03E5">
            <m:oMathPara>
              <m:oMath>
                <m:r>
                  <w:rPr>
                    <w:rFonts w:ascii="Cambria Math" w:hAnsi="Cambria Math"/>
                  </w:rPr>
                  <m:t>b=0.1</m:t>
                </m:r>
              </m:oMath>
            </m:oMathPara>
          </w:p>
        </w:tc>
      </w:tr>
      <w:tr w:rsidR="00370468" w14:paraId="688F7FDC" w14:textId="77777777" w:rsidTr="00370468">
        <w:tc>
          <w:tcPr>
            <w:tcW w:w="3116" w:type="dxa"/>
          </w:tcPr>
          <w:p w14:paraId="681B26D1" w14:textId="57ED60D5" w:rsidR="00370468" w:rsidRDefault="003E03E5">
            <m:oMathPara>
              <m:oMath>
                <m:r>
                  <w:rPr>
                    <w:rFonts w:ascii="Cambria Math" w:hAnsi="Cambria Math"/>
                  </w:rPr>
                  <m:t>K</m:t>
                </m:r>
              </m:oMath>
            </m:oMathPara>
          </w:p>
        </w:tc>
        <w:tc>
          <w:tcPr>
            <w:tcW w:w="3117" w:type="dxa"/>
          </w:tcPr>
          <w:p w14:paraId="74AD08D3" w14:textId="4E1C17E9" w:rsidR="00370468" w:rsidRDefault="003E03E5">
            <w:r>
              <w:t>Host carrying capacity</w:t>
            </w:r>
          </w:p>
        </w:tc>
        <w:tc>
          <w:tcPr>
            <w:tcW w:w="3117" w:type="dxa"/>
          </w:tcPr>
          <w:p w14:paraId="2D386BE2" w14:textId="4E54F0F6" w:rsidR="00370468" w:rsidRDefault="003E03E5">
            <m:oMathPara>
              <m:oMath>
                <m:r>
                  <w:rPr>
                    <w:rFonts w:ascii="Cambria Math" w:hAnsi="Cambria Math"/>
                  </w:rPr>
                  <m:t>K=100</m:t>
                </m:r>
              </m:oMath>
            </m:oMathPara>
          </w:p>
        </w:tc>
      </w:tr>
      <w:tr w:rsidR="00370468" w14:paraId="386662CD" w14:textId="77777777" w:rsidTr="00370468">
        <w:tc>
          <w:tcPr>
            <w:tcW w:w="3116" w:type="dxa"/>
          </w:tcPr>
          <w:p w14:paraId="6429150E" w14:textId="6ABF9C2B" w:rsidR="00370468" w:rsidRDefault="003E03E5">
            <m:oMathPara>
              <m:oMath>
                <m:r>
                  <w:rPr>
                    <w:rFonts w:ascii="Cambria Math" w:hAnsi="Cambria Math"/>
                  </w:rPr>
                  <m:t>c</m:t>
                </m:r>
              </m:oMath>
            </m:oMathPara>
          </w:p>
        </w:tc>
        <w:tc>
          <w:tcPr>
            <w:tcW w:w="3117" w:type="dxa"/>
          </w:tcPr>
          <w:p w14:paraId="171996C6" w14:textId="2E54A79C" w:rsidR="00370468" w:rsidRDefault="003E03E5">
            <w:r>
              <w:t>Per-host contact rate</w:t>
            </w:r>
          </w:p>
        </w:tc>
        <w:tc>
          <w:tcPr>
            <w:tcW w:w="3117" w:type="dxa"/>
          </w:tcPr>
          <w:p w14:paraId="4BB9F7DB" w14:textId="4757D5FD" w:rsidR="00370468" w:rsidRDefault="003E03E5">
            <m:oMathPara>
              <m:oMath>
                <m:r>
                  <w:rPr>
                    <w:rFonts w:ascii="Cambria Math" w:hAnsi="Cambria Math"/>
                  </w:rPr>
                  <m:t>c=0.003</m:t>
                </m:r>
              </m:oMath>
            </m:oMathPara>
          </w:p>
        </w:tc>
      </w:tr>
      <w:tr w:rsidR="00370468" w14:paraId="30B89043" w14:textId="77777777" w:rsidTr="00370468">
        <w:tc>
          <w:tcPr>
            <w:tcW w:w="3116" w:type="dxa"/>
          </w:tcPr>
          <w:p w14:paraId="4AE92EEF" w14:textId="3852BEE4" w:rsidR="00370468" w:rsidRDefault="003E03E5">
            <m:oMathPara>
              <m:oMath>
                <m:r>
                  <w:rPr>
                    <w:rFonts w:ascii="Cambria Math" w:hAnsi="Cambria Math"/>
                  </w:rPr>
                  <m:t>v</m:t>
                </m:r>
              </m:oMath>
            </m:oMathPara>
          </w:p>
        </w:tc>
        <w:tc>
          <w:tcPr>
            <w:tcW w:w="3117" w:type="dxa"/>
          </w:tcPr>
          <w:p w14:paraId="6EBA6635" w14:textId="2C31FADC" w:rsidR="00370468" w:rsidRDefault="003E03E5">
            <w:r>
              <w:t>Per-parasite virulence</w:t>
            </w:r>
          </w:p>
        </w:tc>
        <w:tc>
          <w:tcPr>
            <w:tcW w:w="3117" w:type="dxa"/>
          </w:tcPr>
          <w:p w14:paraId="7FEFE1DB" w14:textId="118ED543" w:rsidR="00370468" w:rsidRDefault="003E03E5">
            <w:r>
              <w:t xml:space="preserve">Evolving: </w:t>
            </w:r>
            <m:oMath>
              <m:r>
                <w:rPr>
                  <w:rFonts w:ascii="Cambria Math" w:hAnsi="Cambria Math"/>
                </w:rPr>
                <m:t>v(0)=0.0001</m:t>
              </m:r>
            </m:oMath>
          </w:p>
        </w:tc>
      </w:tr>
      <w:tr w:rsidR="00370468" w14:paraId="322E747B" w14:textId="77777777" w:rsidTr="00370468">
        <w:tc>
          <w:tcPr>
            <w:tcW w:w="3116" w:type="dxa"/>
          </w:tcPr>
          <w:p w14:paraId="33831E00" w14:textId="03F9E1DE" w:rsidR="00370468" w:rsidRDefault="003E03E5">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4822C0AA" w14:textId="7D687D5A" w:rsidR="00370468" w:rsidRDefault="003E03E5">
            <w:r>
              <w:t xml:space="preserve">Coefficient of variation in </w:t>
            </w:r>
            <w:r w:rsidR="00852AD3">
              <w:t>virulence</w:t>
            </w:r>
          </w:p>
        </w:tc>
        <w:tc>
          <w:tcPr>
            <w:tcW w:w="3117" w:type="dxa"/>
          </w:tcPr>
          <w:p w14:paraId="78460B5A" w14:textId="12D52FFD" w:rsidR="00370468" w:rsidRDefault="00852AD3">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149D3CFF" w14:textId="77777777" w:rsidR="00370468" w:rsidRDefault="00370468"/>
    <w:p w14:paraId="6AFE264D" w14:textId="77777777" w:rsidR="00885F91" w:rsidRPr="00885F91" w:rsidRDefault="00885F91"/>
    <w:p w14:paraId="20B2F52C" w14:textId="77777777" w:rsidR="006D05AF" w:rsidRDefault="006D05AF"/>
    <w:p w14:paraId="69C4E190" w14:textId="77777777" w:rsidR="006D05AF" w:rsidRDefault="006D05AF"/>
    <w:sectPr w:rsidR="006D05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AF"/>
    <w:rsid w:val="000C0FAF"/>
    <w:rsid w:val="001D3A81"/>
    <w:rsid w:val="002F7A04"/>
    <w:rsid w:val="00301422"/>
    <w:rsid w:val="00316051"/>
    <w:rsid w:val="00370468"/>
    <w:rsid w:val="003B2BD2"/>
    <w:rsid w:val="003E03E5"/>
    <w:rsid w:val="006D05AF"/>
    <w:rsid w:val="008357A4"/>
    <w:rsid w:val="00852AD3"/>
    <w:rsid w:val="00885F91"/>
    <w:rsid w:val="00963DA9"/>
    <w:rsid w:val="0096460E"/>
    <w:rsid w:val="009F1197"/>
    <w:rsid w:val="00AC2A01"/>
    <w:rsid w:val="00AD0464"/>
    <w:rsid w:val="00B276C9"/>
    <w:rsid w:val="00BF54E6"/>
    <w:rsid w:val="00C12C1A"/>
    <w:rsid w:val="00C24013"/>
    <w:rsid w:val="00CD1DA5"/>
    <w:rsid w:val="00DD2EA6"/>
    <w:rsid w:val="00DF1402"/>
    <w:rsid w:val="00EF5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388AC8"/>
  <w15:chartTrackingRefBased/>
  <w15:docId w15:val="{3C445EC3-AD4A-DD48-9297-250FF6E34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5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5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5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5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5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5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5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5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5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5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5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5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5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5AF"/>
    <w:rPr>
      <w:rFonts w:eastAsiaTheme="majorEastAsia" w:cstheme="majorBidi"/>
      <w:color w:val="272727" w:themeColor="text1" w:themeTint="D8"/>
    </w:rPr>
  </w:style>
  <w:style w:type="paragraph" w:styleId="Title">
    <w:name w:val="Title"/>
    <w:basedOn w:val="Normal"/>
    <w:next w:val="Normal"/>
    <w:link w:val="TitleChar"/>
    <w:uiPriority w:val="10"/>
    <w:qFormat/>
    <w:rsid w:val="006D05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5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5A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5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5A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05AF"/>
    <w:rPr>
      <w:i/>
      <w:iCs/>
      <w:color w:val="404040" w:themeColor="text1" w:themeTint="BF"/>
    </w:rPr>
  </w:style>
  <w:style w:type="paragraph" w:styleId="ListParagraph">
    <w:name w:val="List Paragraph"/>
    <w:basedOn w:val="Normal"/>
    <w:uiPriority w:val="34"/>
    <w:qFormat/>
    <w:rsid w:val="006D05AF"/>
    <w:pPr>
      <w:ind w:left="720"/>
      <w:contextualSpacing/>
    </w:pPr>
  </w:style>
  <w:style w:type="character" w:styleId="IntenseEmphasis">
    <w:name w:val="Intense Emphasis"/>
    <w:basedOn w:val="DefaultParagraphFont"/>
    <w:uiPriority w:val="21"/>
    <w:qFormat/>
    <w:rsid w:val="006D05AF"/>
    <w:rPr>
      <w:i/>
      <w:iCs/>
      <w:color w:val="0F4761" w:themeColor="accent1" w:themeShade="BF"/>
    </w:rPr>
  </w:style>
  <w:style w:type="paragraph" w:styleId="IntenseQuote">
    <w:name w:val="Intense Quote"/>
    <w:basedOn w:val="Normal"/>
    <w:next w:val="Normal"/>
    <w:link w:val="IntenseQuoteChar"/>
    <w:uiPriority w:val="30"/>
    <w:qFormat/>
    <w:rsid w:val="006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5AF"/>
    <w:rPr>
      <w:i/>
      <w:iCs/>
      <w:color w:val="0F4761" w:themeColor="accent1" w:themeShade="BF"/>
    </w:rPr>
  </w:style>
  <w:style w:type="character" w:styleId="IntenseReference">
    <w:name w:val="Intense Reference"/>
    <w:basedOn w:val="DefaultParagraphFont"/>
    <w:uiPriority w:val="32"/>
    <w:qFormat/>
    <w:rsid w:val="006D05AF"/>
    <w:rPr>
      <w:b/>
      <w:bCs/>
      <w:smallCaps/>
      <w:color w:val="0F4761" w:themeColor="accent1" w:themeShade="BF"/>
      <w:spacing w:val="5"/>
    </w:rPr>
  </w:style>
  <w:style w:type="table" w:styleId="TableGrid">
    <w:name w:val="Table Grid"/>
    <w:basedOn w:val="TableNormal"/>
    <w:uiPriority w:val="39"/>
    <w:rsid w:val="00370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04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4173153">
      <w:bodyDiv w:val="1"/>
      <w:marLeft w:val="0"/>
      <w:marRight w:val="0"/>
      <w:marTop w:val="0"/>
      <w:marBottom w:val="0"/>
      <w:divBdr>
        <w:top w:val="none" w:sz="0" w:space="0" w:color="auto"/>
        <w:left w:val="none" w:sz="0" w:space="0" w:color="auto"/>
        <w:bottom w:val="none" w:sz="0" w:space="0" w:color="auto"/>
        <w:right w:val="none" w:sz="0" w:space="0" w:color="auto"/>
      </w:divBdr>
      <w:divsChild>
        <w:div w:id="3001862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5</Pages>
  <Words>1153</Words>
  <Characters>6576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8</cp:revision>
  <dcterms:created xsi:type="dcterms:W3CDTF">2026-04-15T18:05:00Z</dcterms:created>
  <dcterms:modified xsi:type="dcterms:W3CDTF">2026-05-05T16:27:00Z</dcterms:modified>
</cp:coreProperties>
</file>