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A220D" w14:textId="77777777" w:rsidR="00BA5233" w:rsidRPr="00906287" w:rsidRDefault="00BA5233" w:rsidP="00BA5233">
      <w:pPr>
        <w:rPr>
          <w:b/>
        </w:rPr>
      </w:pPr>
      <w:r w:rsidRPr="00282A7F">
        <w:rPr>
          <w:b/>
          <w:bCs/>
        </w:rPr>
        <w:t>Online Supplementary Information</w:t>
      </w:r>
    </w:p>
    <w:p w14:paraId="61D8F6FB" w14:textId="77777777" w:rsidR="00BA5233" w:rsidRPr="00282A7F" w:rsidRDefault="00BA5233" w:rsidP="00BA5233">
      <w:pPr>
        <w:rPr>
          <w:b/>
          <w:bCs/>
        </w:rPr>
      </w:pPr>
    </w:p>
    <w:p w14:paraId="5B87F19B" w14:textId="77777777" w:rsidR="00BA5233" w:rsidRDefault="00BA5233" w:rsidP="00BA5233">
      <w:pPr>
        <w:rPr>
          <w:rFonts w:eastAsiaTheme="minorEastAsia"/>
        </w:rPr>
      </w:pPr>
      <w:r>
        <w:t>To carry out an adaptive dynamics analysis (</w:t>
      </w:r>
      <w:proofErr w:type="spellStart"/>
      <w:r>
        <w:t>Geritz</w:t>
      </w:r>
      <w:proofErr w:type="spellEnd"/>
      <w:r>
        <w:t xml:space="preserve"> et al. 1998) of the simple epidemiological model (equation 3 in the main text), we first expand the model to consider the dynamics of a resident strain of parasite that causes acute (</w:t>
      </w:r>
      <m:oMath>
        <m:sSub>
          <m:sSubPr>
            <m:ctrlPr>
              <w:rPr>
                <w:rFonts w:ascii="Cambria Math" w:hAnsi="Cambria Math"/>
                <w:i/>
              </w:rPr>
            </m:ctrlPr>
          </m:sSubPr>
          <m:e>
            <m:r>
              <w:rPr>
                <w:rFonts w:ascii="Cambria Math" w:hAnsi="Cambria Math"/>
              </w:rPr>
              <m:t>I</m:t>
            </m:r>
          </m:e>
          <m:sub>
            <m:r>
              <w:rPr>
                <w:rFonts w:ascii="Cambria Math" w:hAnsi="Cambria Math"/>
              </w:rPr>
              <m:t>a,r</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c,r</m:t>
            </m:r>
          </m:sub>
        </m:sSub>
      </m:oMath>
      <w:r>
        <w:rPr>
          <w:rFonts w:eastAsiaTheme="minorEastAsia"/>
        </w:rPr>
        <w:t>) infections and a mutant strain of parasite that also causes acute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oMath>
      <w:r>
        <w:rPr>
          <w:rFonts w:eastAsiaTheme="minorEastAsia"/>
        </w:rPr>
        <w:t>) infections. The two strains differ in virulence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which alters their transmission rates according to the function</w:t>
      </w:r>
    </w:p>
    <w:p w14:paraId="094CB78E" w14:textId="77777777" w:rsidR="00BA5233" w:rsidRPr="00F24F85" w:rsidRDefault="00BA5233" w:rsidP="00BA5233">
      <w:pPr>
        <w:rPr>
          <w:rFonts w:eastAsiaTheme="minorEastAsia"/>
        </w:rPr>
      </w:pPr>
      <m:oMathPara>
        <m:oMath>
          <m:r>
            <w:rPr>
              <w:rFonts w:ascii="Cambria Math" w:hAnsi="Cambria Math"/>
            </w:rPr>
            <m:t>β</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v</m:t>
              </m:r>
            </m:num>
            <m:den>
              <m:r>
                <w:rPr>
                  <w:rFonts w:ascii="Cambria Math" w:hAnsi="Cambria Math"/>
                </w:rPr>
                <m:t>h+v</m:t>
              </m:r>
            </m:den>
          </m:f>
          <m:r>
            <w:rPr>
              <w:rFonts w:ascii="Cambria Math" w:eastAsiaTheme="minorEastAsia" w:hAnsi="Cambria Math"/>
            </w:rPr>
            <m:t>.</m:t>
          </m:r>
        </m:oMath>
      </m:oMathPara>
    </w:p>
    <w:p w14:paraId="5F2A79CE" w14:textId="77777777" w:rsidR="00BA5233" w:rsidRDefault="00BA5233" w:rsidP="00BA5233">
      <w:pPr>
        <w:rPr>
          <w:rFonts w:eastAsiaTheme="minorEastAsia"/>
        </w:rPr>
      </w:pPr>
    </w:p>
    <w:p w14:paraId="7B8FCF04" w14:textId="77777777" w:rsidR="00BA5233" w:rsidRPr="00885F91" w:rsidRDefault="00BA5233" w:rsidP="00BA5233">
      <w:proofErr w:type="gramStart"/>
      <w:r>
        <w:rPr>
          <w:rFonts w:eastAsiaTheme="minorEastAsia"/>
        </w:rPr>
        <w:t>Thus</w:t>
      </w:r>
      <w:proofErr w:type="gramEnd"/>
      <w:r>
        <w:rPr>
          <w:rFonts w:eastAsiaTheme="minorEastAsia"/>
        </w:rPr>
        <w:t xml:space="preserve"> the model is </w:t>
      </w:r>
    </w:p>
    <w:p w14:paraId="5705BDF8" w14:textId="77777777" w:rsidR="00BA5233" w:rsidRDefault="00BA5233" w:rsidP="00BA5233"/>
    <w:p w14:paraId="1255B421" w14:textId="77777777" w:rsidR="00BA5233" w:rsidRPr="00BF54E6" w:rsidRDefault="00BA5233" w:rsidP="00BA5233">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num>
                <m:den>
                  <m:r>
                    <w:rPr>
                      <w:rFonts w:ascii="Cambria Math" w:hAnsi="Cambria Math"/>
                    </w:rPr>
                    <m:t>K</m:t>
                  </m:r>
                </m:den>
              </m:f>
            </m:e>
          </m:d>
          <m:r>
            <w:rPr>
              <w:rFonts w:ascii="Cambria Math" w:hAnsi="Cambria Math"/>
            </w:rPr>
            <m:t>-μS-β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m:t>
              </m:r>
            </m:sub>
          </m:sSub>
          <m:r>
            <w:rPr>
              <w:rFonts w:ascii="Cambria Math" w:hAnsi="Cambria Math"/>
            </w:rPr>
            <m:t>)</m:t>
          </m:r>
        </m:oMath>
      </m:oMathPara>
    </w:p>
    <w:p w14:paraId="7CEC1214" w14:textId="77777777" w:rsidR="00BA5233" w:rsidRPr="0080231D" w:rsidRDefault="00BA5233" w:rsidP="00BA5233">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oMath>
      </m:oMathPara>
    </w:p>
    <w:p w14:paraId="077E7D09" w14:textId="77777777" w:rsidR="00BA5233" w:rsidRPr="00F24F85" w:rsidRDefault="00BA5233" w:rsidP="00BA5233">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oMath>
      </m:oMathPara>
    </w:p>
    <w:p w14:paraId="1A8F67D0" w14:textId="77777777" w:rsidR="00BA5233" w:rsidRPr="0080231D" w:rsidRDefault="00BA5233" w:rsidP="00BA5233">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oMath>
      </m:oMathPara>
    </w:p>
    <w:p w14:paraId="0A8E4A1E" w14:textId="77777777" w:rsidR="00BA5233" w:rsidRPr="00F24F85" w:rsidRDefault="00BA5233" w:rsidP="00BA5233">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oMath>
      </m:oMathPara>
    </w:p>
    <w:p w14:paraId="0FBE132E" w14:textId="77777777" w:rsidR="00BA5233" w:rsidRDefault="00BA5233" w:rsidP="00BA5233">
      <w:pPr>
        <w:rPr>
          <w:rFonts w:eastAsiaTheme="minorEastAsia"/>
          <w:iCs/>
        </w:rPr>
      </w:pPr>
    </w:p>
    <w:p w14:paraId="09F27A9F" w14:textId="77777777" w:rsidR="00BA5233" w:rsidRDefault="00BA5233" w:rsidP="00BA5233">
      <w:pPr>
        <w:rPr>
          <w:rFonts w:eastAsiaTheme="minorEastAsia"/>
          <w:iCs/>
        </w:rPr>
      </w:pPr>
      <w:r>
        <w:rPr>
          <w:rFonts w:eastAsiaTheme="minorEastAsia"/>
          <w:iCs/>
        </w:rPr>
        <w:t xml:space="preserve">Following a classic adaptive analysis approach, whether a mutant strain can invade and displace the resident is determined by the stability of the mutant-free equilibrium </w:t>
      </w:r>
      <m:oMath>
        <m:d>
          <m:dPr>
            <m:ctrlPr>
              <w:rPr>
                <w:rFonts w:ascii="Cambria Math" w:eastAsiaTheme="minorEastAsia" w:hAnsi="Cambria Math"/>
                <w:i/>
                <w:iCs/>
              </w:rPr>
            </m:ctrlPr>
          </m:dPr>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e>
        </m:d>
        <m:r>
          <w:rPr>
            <w:rFonts w:ascii="Cambria Math" w:eastAsiaTheme="minorEastAsia" w:hAnsi="Cambria Math"/>
          </w:rPr>
          <m:t>=(</m:t>
        </m:r>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e>
        </m:acc>
        <m:r>
          <w:rPr>
            <w:rFonts w:ascii="Cambria Math" w:eastAsiaTheme="minorEastAsia" w:hAnsi="Cambria Math"/>
          </w:rPr>
          <m:t>, 0, 0)</m:t>
        </m:r>
      </m:oMath>
      <w:r>
        <w:rPr>
          <w:rFonts w:eastAsiaTheme="minorEastAsia"/>
          <w:iCs/>
        </w:rPr>
        <w:t>. This is given by the eigenvalues of the Jacobian matrix evaluated at that equilibrium. Given that the resident would attain a stable equilibrium if the resident was not present (that is, if the system of equations did not include the resident at all), then whether the mutant can invade is given by the eigenvalues of the matrix</w:t>
      </w:r>
    </w:p>
    <w:p w14:paraId="3656CE00" w14:textId="77777777" w:rsidR="00BA5233" w:rsidRPr="00195A56" w:rsidRDefault="00BA5233" w:rsidP="00BA5233">
      <w:pPr>
        <w:rPr>
          <w:rFonts w:eastAsiaTheme="minorEastAsia"/>
          <w:iCs/>
        </w:rPr>
      </w:pPr>
      <m:oMathPara>
        <m:oMath>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e>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mr>
                <m:mr>
                  <m:e>
                    <m:r>
                      <w:rPr>
                        <w:rFonts w:ascii="Cambria Math" w:eastAsiaTheme="minorEastAsia" w:hAnsi="Cambria Math"/>
                      </w:rPr>
                      <m:t>(1-p)β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e>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mr>
              </m:m>
            </m:e>
          </m:d>
          <m:r>
            <w:rPr>
              <w:rFonts w:ascii="Cambria Math" w:eastAsiaTheme="minorEastAsia" w:hAnsi="Cambria Math"/>
            </w:rPr>
            <m:t>.</m:t>
          </m:r>
        </m:oMath>
      </m:oMathPara>
    </w:p>
    <w:p w14:paraId="3B299E3B" w14:textId="77777777" w:rsidR="00BA5233" w:rsidRPr="005137E3" w:rsidRDefault="00BA5233" w:rsidP="00BA5233">
      <w:pPr>
        <w:rPr>
          <w:rFonts w:eastAsiaTheme="minorEastAsia"/>
          <w:iCs/>
        </w:rPr>
      </w:pPr>
    </w:p>
    <w:p w14:paraId="46A81B2B" w14:textId="77777777" w:rsidR="00BA5233" w:rsidRDefault="00BA5233" w:rsidP="00BA5233">
      <w:pPr>
        <w:rPr>
          <w:rFonts w:eastAsiaTheme="minorEastAsia"/>
          <w:iCs/>
        </w:rPr>
      </w:pPr>
      <w:r>
        <w:rPr>
          <w:rFonts w:eastAsiaTheme="minorEastAsia"/>
          <w:iCs/>
        </w:rPr>
        <w:t>The eigenvalues of this matrix are difficult to interpret, but a more biologically interpretable expression for the invasion criterion can be used by applying the next generation theorem (</w:t>
      </w:r>
      <w:proofErr w:type="spellStart"/>
      <w:r>
        <w:rPr>
          <w:rFonts w:eastAsiaTheme="minorEastAsia"/>
          <w:iCs/>
        </w:rPr>
        <w:t>Hurford</w:t>
      </w:r>
      <w:proofErr w:type="spellEnd"/>
      <w:r>
        <w:rPr>
          <w:rFonts w:eastAsiaTheme="minorEastAsia"/>
          <w:iCs/>
        </w:rPr>
        <w:t xml:space="preserve"> et al. 2010) to the above matrix. This leads to the following condition for the mutant to be able to invade:</w:t>
      </w:r>
    </w:p>
    <w:p w14:paraId="3A272361" w14:textId="77777777" w:rsidR="00BA5233" w:rsidRPr="00195A56" w:rsidRDefault="00BA5233" w:rsidP="00BA5233">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den>
          </m:f>
          <m:r>
            <w:rPr>
              <w:rFonts w:ascii="Cambria Math" w:eastAsiaTheme="minorEastAsia" w:hAnsi="Cambria Math"/>
            </w:rPr>
            <m:t>&gt;1,</m:t>
          </m:r>
        </m:oMath>
      </m:oMathPara>
    </w:p>
    <w:p w14:paraId="0A850327" w14:textId="77777777" w:rsidR="00BA5233" w:rsidRDefault="00BA5233" w:rsidP="00BA5233">
      <w:pPr>
        <w:rPr>
          <w:rFonts w:eastAsiaTheme="minorEastAsia"/>
          <w:iCs/>
        </w:rPr>
      </w:pPr>
      <w:r>
        <w:rPr>
          <w:rFonts w:eastAsiaTheme="minorEastAsia"/>
          <w:iCs/>
        </w:rPr>
        <w:br/>
        <w:t xml:space="preserve">which can be interpreted as the expected number of new infections caused by an acute infection plus the expected number of new infections caused by a chronic infection. If this </w:t>
      </w:r>
      <w:r>
        <w:rPr>
          <w:rFonts w:eastAsiaTheme="minorEastAsia"/>
          <w:iCs/>
        </w:rPr>
        <w:lastRenderedPageBreak/>
        <w:t>quantity is greater than one, then the mutant parasite can spread among the susceptible hosts that are left over by the resident strain (</w:t>
      </w:r>
      <m:oMath>
        <m:acc>
          <m:accPr>
            <m:ctrlPr>
              <w:rPr>
                <w:rFonts w:ascii="Cambria Math" w:eastAsiaTheme="minorEastAsia" w:hAnsi="Cambria Math"/>
                <w:i/>
                <w:iCs/>
              </w:rPr>
            </m:ctrlPr>
          </m:accPr>
          <m:e>
            <m:r>
              <w:rPr>
                <w:rFonts w:ascii="Cambria Math" w:eastAsiaTheme="minorEastAsia" w:hAnsi="Cambria Math"/>
              </w:rPr>
              <m:t>S</m:t>
            </m:r>
          </m:e>
        </m:acc>
      </m:oMath>
      <w:r>
        <w:rPr>
          <w:rFonts w:eastAsiaTheme="minorEastAsia"/>
          <w:iCs/>
        </w:rPr>
        <w:t>). This means that the mutant is suppressing the number of susceptible hosts below the number where the resident can persist. That is, evolution will lead to the minimization of the number of susceptible (the so-called pessimization principle of adaptive dynamics).</w:t>
      </w:r>
    </w:p>
    <w:p w14:paraId="2BD6AA83" w14:textId="77777777" w:rsidR="00BA5233" w:rsidRDefault="00BA5233" w:rsidP="00BA5233">
      <w:pPr>
        <w:rPr>
          <w:rFonts w:eastAsiaTheme="minorEastAsia"/>
          <w:iCs/>
        </w:rPr>
      </w:pPr>
    </w:p>
    <w:p w14:paraId="65583808" w14:textId="77777777" w:rsidR="00BA5233" w:rsidRDefault="00BA5233" w:rsidP="00BA5233">
      <w:pPr>
        <w:rPr>
          <w:rFonts w:eastAsiaTheme="minorEastAsia"/>
          <w:iCs/>
        </w:rPr>
      </w:pPr>
      <w:r>
        <w:rPr>
          <w:rFonts w:eastAsiaTheme="minorEastAsia"/>
          <w:iCs/>
        </w:rPr>
        <w:t>Potential endpoints of evolution are found by finding the roots of the derivative of the above expression with respect to the evolving trait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iCs/>
        </w:rPr>
        <w:t xml:space="preserve">), that is, by solving the following equation for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oMath>
    </w:p>
    <w:p w14:paraId="046A7FF3" w14:textId="77777777" w:rsidR="00BA5233" w:rsidRDefault="00BA5233" w:rsidP="00BA5233">
      <w:pPr>
        <w:rPr>
          <w:rFonts w:eastAsiaTheme="minorEastAsia"/>
          <w:iCs/>
        </w:rPr>
      </w:pPr>
      <m:oMathPara>
        <m:oMath>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sSup>
            <m:sSupPr>
              <m:ctrlPr>
                <w:rPr>
                  <w:rFonts w:ascii="Cambria Math" w:eastAsiaTheme="minorEastAsia" w:hAnsi="Cambria Math"/>
                  <w:iCs/>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=0.</m:t>
          </m:r>
        </m:oMath>
      </m:oMathPara>
    </w:p>
    <w:p w14:paraId="04BB361E" w14:textId="77777777" w:rsidR="00BA5233" w:rsidRDefault="00BA5233" w:rsidP="00BA5233"/>
    <w:p w14:paraId="1D17D027" w14:textId="77777777" w:rsidR="00BA5233" w:rsidRDefault="00BA5233" w:rsidP="00BA5233">
      <w:r>
        <w:t xml:space="preserve">As long as </w:t>
      </w:r>
      <m:oMath>
        <m:r>
          <w:rPr>
            <w:rFonts w:ascii="Cambria Math" w:hAnsi="Cambria Math"/>
          </w:rPr>
          <m:t>β(v)</m:t>
        </m:r>
      </m:oMath>
      <w:r>
        <w:rPr>
          <w:rFonts w:eastAsiaTheme="minorEastAsia"/>
        </w:rPr>
        <w:t xml:space="preserve"> is an increasing, saturating function of virulence </w:t>
      </w:r>
      <m:oMath>
        <m:r>
          <w:rPr>
            <w:rFonts w:ascii="Cambria Math" w:eastAsiaTheme="minorEastAsia" w:hAnsi="Cambria Math"/>
          </w:rPr>
          <m:t>v</m:t>
        </m:r>
      </m:oMath>
      <w:r>
        <w:rPr>
          <w:rFonts w:eastAsiaTheme="minorEastAsia"/>
        </w:rPr>
        <w:t xml:space="preserve">, then any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that satisfies the above equality will be evolutionarily and convergence stable (</w:t>
      </w:r>
      <w:proofErr w:type="spellStart"/>
      <w:r>
        <w:rPr>
          <w:rFonts w:eastAsiaTheme="minorEastAsia"/>
        </w:rPr>
        <w:t>Geritz</w:t>
      </w:r>
      <w:proofErr w:type="spellEnd"/>
      <w:r>
        <w:rPr>
          <w:rFonts w:eastAsiaTheme="minorEastAsia"/>
        </w:rPr>
        <w:t xml:space="preserve"> et al. 1998). Fig. 5 in the main text shows the ESS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as the probability of an acute infection </w:t>
      </w:r>
      <m:oMath>
        <m:r>
          <w:rPr>
            <w:rFonts w:ascii="Cambria Math" w:eastAsiaTheme="minorEastAsia" w:hAnsi="Cambria Math"/>
          </w:rPr>
          <m:t>p</m:t>
        </m:r>
      </m:oMath>
      <w:r>
        <w:rPr>
          <w:rFonts w:eastAsiaTheme="minorEastAsia"/>
        </w:rPr>
        <w:t xml:space="preserve"> and the recovery rate </w:t>
      </w:r>
      <m:oMath>
        <m:r>
          <w:rPr>
            <w:rFonts w:ascii="Cambria Math" w:eastAsiaTheme="minorEastAsia" w:hAnsi="Cambria Math"/>
          </w:rPr>
          <m:t>γ</m:t>
        </m:r>
      </m:oMath>
      <w:r>
        <w:rPr>
          <w:rFonts w:eastAsiaTheme="minorEastAsia"/>
        </w:rPr>
        <w:t xml:space="preserve"> vary. </w:t>
      </w:r>
    </w:p>
    <w:p w14:paraId="359924F0" w14:textId="77777777" w:rsidR="00BA5233" w:rsidRDefault="00BA5233" w:rsidP="00BA5233"/>
    <w:p w14:paraId="4F2ACA94" w14:textId="77777777" w:rsidR="00BA5233" w:rsidRDefault="00BA5233" w:rsidP="00BA5233">
      <w:r>
        <w:rPr>
          <w:noProof/>
        </w:rPr>
        <w:drawing>
          <wp:inline distT="0" distB="0" distL="0" distR="0" wp14:anchorId="14C60C04" wp14:editId="0CC7AA5B">
            <wp:extent cx="5943600" cy="3566160"/>
            <wp:effectExtent l="0" t="0" r="0" b="2540"/>
            <wp:docPr id="385362818" name="Picture 2"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2818" name="Picture 2" descr="A graph of a number of data&#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AA5CDE" w14:textId="77777777" w:rsidR="00BA5233" w:rsidRDefault="00BA5233" w:rsidP="00BA5233">
      <w:r w:rsidRPr="00365FFC">
        <w:rPr>
          <w:b/>
          <w:bCs/>
        </w:rPr>
        <w:t>Figure S1</w:t>
      </w:r>
      <w:r>
        <w:t xml:space="preserve">. Eco-evolutionary dynamics of prevalence and virulence when the minimum initial Th2 is 575. This extends the </w:t>
      </w:r>
      <w:proofErr w:type="spellStart"/>
      <w:r>
        <w:t>timecourse</w:t>
      </w:r>
      <w:proofErr w:type="spellEnd"/>
      <w:r>
        <w:t xml:space="preserve"> shown in the lower left panels of Figs. 2 and 3, revealing that it takes a very long time for prevalence and virulence to reach an eco-evolutionary steady state.</w:t>
      </w:r>
    </w:p>
    <w:p w14:paraId="1DB986F8" w14:textId="77777777" w:rsidR="00BA5233" w:rsidRDefault="00BA5233" w:rsidP="00BA5233"/>
    <w:p w14:paraId="717B9528" w14:textId="77777777" w:rsidR="00BA5233" w:rsidRDefault="00BA5233" w:rsidP="00BA5233">
      <w:pPr>
        <w:rPr>
          <w:b/>
          <w:bCs/>
        </w:rPr>
      </w:pPr>
      <w:r>
        <w:rPr>
          <w:b/>
          <w:bCs/>
        </w:rPr>
        <w:t>References</w:t>
      </w:r>
    </w:p>
    <w:p w14:paraId="2D162129" w14:textId="77777777" w:rsidR="00BA5233" w:rsidRDefault="00BA5233" w:rsidP="00BA5233">
      <w:pPr>
        <w:rPr>
          <w:b/>
          <w:bCs/>
        </w:rPr>
      </w:pPr>
    </w:p>
    <w:p w14:paraId="4502DEA9" w14:textId="77777777" w:rsidR="00BA5233" w:rsidRDefault="00BA5233" w:rsidP="00BA5233">
      <w:pPr>
        <w:rPr>
          <w:rFonts w:ascii="Arial" w:hAnsi="Arial" w:cs="Arial"/>
          <w:color w:val="222222"/>
          <w:sz w:val="20"/>
          <w:szCs w:val="20"/>
          <w:shd w:val="clear" w:color="auto" w:fill="FFFFFF"/>
        </w:rPr>
      </w:pPr>
      <w:proofErr w:type="spellStart"/>
      <w:r w:rsidRPr="00C152FC">
        <w:rPr>
          <w:rFonts w:ascii="Arial" w:hAnsi="Arial" w:cs="Arial"/>
          <w:color w:val="222222"/>
          <w:sz w:val="20"/>
          <w:szCs w:val="20"/>
          <w:shd w:val="clear" w:color="auto" w:fill="FFFFFF"/>
        </w:rPr>
        <w:lastRenderedPageBreak/>
        <w:t>Geritz</w:t>
      </w:r>
      <w:proofErr w:type="spellEnd"/>
      <w:r w:rsidRPr="00C152FC">
        <w:rPr>
          <w:rFonts w:ascii="Arial" w:hAnsi="Arial" w:cs="Arial"/>
          <w:color w:val="222222"/>
          <w:sz w:val="20"/>
          <w:szCs w:val="20"/>
          <w:shd w:val="clear" w:color="auto" w:fill="FFFFFF"/>
        </w:rPr>
        <w:t xml:space="preserve">, S. A. H., </w:t>
      </w:r>
      <w:proofErr w:type="spellStart"/>
      <w:r w:rsidRPr="00C152FC">
        <w:rPr>
          <w:rFonts w:ascii="Arial" w:hAnsi="Arial" w:cs="Arial"/>
          <w:color w:val="222222"/>
          <w:sz w:val="20"/>
          <w:szCs w:val="20"/>
          <w:shd w:val="clear" w:color="auto" w:fill="FFFFFF"/>
        </w:rPr>
        <w:t>Kisdi</w:t>
      </w:r>
      <w:proofErr w:type="spellEnd"/>
      <w:r w:rsidRPr="00C152FC">
        <w:rPr>
          <w:rFonts w:ascii="Arial" w:hAnsi="Arial" w:cs="Arial"/>
          <w:color w:val="222222"/>
          <w:sz w:val="20"/>
          <w:szCs w:val="20"/>
          <w:shd w:val="clear" w:color="auto" w:fill="FFFFFF"/>
        </w:rPr>
        <w:t xml:space="preserve">, É., </w:t>
      </w:r>
      <w:proofErr w:type="spellStart"/>
      <w:r w:rsidRPr="00C152FC">
        <w:rPr>
          <w:rFonts w:ascii="Arial" w:hAnsi="Arial" w:cs="Arial"/>
          <w:color w:val="222222"/>
          <w:sz w:val="20"/>
          <w:szCs w:val="20"/>
          <w:shd w:val="clear" w:color="auto" w:fill="FFFFFF"/>
        </w:rPr>
        <w:t>Meszéna</w:t>
      </w:r>
      <w:proofErr w:type="spellEnd"/>
      <w:r w:rsidRPr="00C152FC">
        <w:rPr>
          <w:rFonts w:ascii="Arial" w:hAnsi="Arial" w:cs="Arial"/>
          <w:color w:val="222222"/>
          <w:sz w:val="20"/>
          <w:szCs w:val="20"/>
          <w:shd w:val="clear" w:color="auto" w:fill="FFFFFF"/>
        </w:rPr>
        <w:t xml:space="preserve">, G., &amp; Metz, J. A. J. (1998). Evolutionarily singular strategies and the adaptive growth and branching of the evolutionary tree. </w:t>
      </w:r>
      <w:r w:rsidRPr="00C152FC">
        <w:rPr>
          <w:rFonts w:ascii="Arial" w:hAnsi="Arial" w:cs="Arial"/>
          <w:i/>
          <w:iCs/>
          <w:color w:val="222222"/>
          <w:sz w:val="20"/>
          <w:szCs w:val="20"/>
          <w:shd w:val="clear" w:color="auto" w:fill="FFFFFF"/>
        </w:rPr>
        <w:t>Evolutionary Ecology</w:t>
      </w:r>
      <w:r w:rsidRPr="00C152FC">
        <w:rPr>
          <w:rFonts w:ascii="Arial" w:hAnsi="Arial" w:cs="Arial"/>
          <w:color w:val="222222"/>
          <w:sz w:val="20"/>
          <w:szCs w:val="20"/>
          <w:shd w:val="clear" w:color="auto" w:fill="FFFFFF"/>
        </w:rPr>
        <w:t>, 12, 35–57.</w:t>
      </w:r>
    </w:p>
    <w:p w14:paraId="1A24DF26" w14:textId="77777777" w:rsidR="00BA5233" w:rsidRDefault="00BA5233" w:rsidP="00BA5233">
      <w:pPr>
        <w:rPr>
          <w:rFonts w:ascii="Arial" w:hAnsi="Arial" w:cs="Arial"/>
          <w:color w:val="222222"/>
          <w:sz w:val="20"/>
          <w:szCs w:val="20"/>
          <w:shd w:val="clear" w:color="auto" w:fill="FFFFFF"/>
        </w:rPr>
      </w:pPr>
    </w:p>
    <w:p w14:paraId="139181E9" w14:textId="77777777" w:rsidR="00BA5233" w:rsidRDefault="00BA5233" w:rsidP="00BA5233">
      <w:pPr>
        <w:rPr>
          <w:rFonts w:ascii="Arial" w:hAnsi="Arial" w:cs="Arial"/>
          <w:color w:val="222222"/>
          <w:sz w:val="20"/>
          <w:szCs w:val="20"/>
          <w:shd w:val="clear" w:color="auto" w:fill="FFFFFF"/>
        </w:rPr>
      </w:pPr>
      <w:proofErr w:type="spellStart"/>
      <w:r w:rsidRPr="00C152FC">
        <w:rPr>
          <w:rFonts w:ascii="Arial" w:hAnsi="Arial" w:cs="Arial"/>
          <w:color w:val="222222"/>
          <w:sz w:val="20"/>
          <w:szCs w:val="20"/>
          <w:shd w:val="clear" w:color="auto" w:fill="FFFFFF"/>
        </w:rPr>
        <w:t>Hurford</w:t>
      </w:r>
      <w:proofErr w:type="spellEnd"/>
      <w:r w:rsidRPr="00C152FC">
        <w:rPr>
          <w:rFonts w:ascii="Arial" w:hAnsi="Arial" w:cs="Arial"/>
          <w:color w:val="222222"/>
          <w:sz w:val="20"/>
          <w:szCs w:val="20"/>
          <w:shd w:val="clear" w:color="auto" w:fill="FFFFFF"/>
        </w:rPr>
        <w:t xml:space="preserve">, A., </w:t>
      </w:r>
      <w:proofErr w:type="spellStart"/>
      <w:r w:rsidRPr="00C152FC">
        <w:rPr>
          <w:rFonts w:ascii="Arial" w:hAnsi="Arial" w:cs="Arial"/>
          <w:color w:val="222222"/>
          <w:sz w:val="20"/>
          <w:szCs w:val="20"/>
          <w:shd w:val="clear" w:color="auto" w:fill="FFFFFF"/>
        </w:rPr>
        <w:t>Cownden</w:t>
      </w:r>
      <w:proofErr w:type="spellEnd"/>
      <w:r w:rsidRPr="00C152FC">
        <w:rPr>
          <w:rFonts w:ascii="Arial" w:hAnsi="Arial" w:cs="Arial"/>
          <w:color w:val="222222"/>
          <w:sz w:val="20"/>
          <w:szCs w:val="20"/>
          <w:shd w:val="clear" w:color="auto" w:fill="FFFFFF"/>
        </w:rPr>
        <w:t xml:space="preserve">, D., &amp; Day, T. (2010). Next-generation tools for evolutionary invasion analyses. </w:t>
      </w:r>
      <w:r w:rsidRPr="00C152FC">
        <w:rPr>
          <w:rFonts w:ascii="Arial" w:hAnsi="Arial" w:cs="Arial"/>
          <w:i/>
          <w:iCs/>
          <w:color w:val="222222"/>
          <w:sz w:val="20"/>
          <w:szCs w:val="20"/>
          <w:shd w:val="clear" w:color="auto" w:fill="FFFFFF"/>
        </w:rPr>
        <w:t>Journal of the Royal Society Interface</w:t>
      </w:r>
      <w:r w:rsidRPr="00C152FC">
        <w:rPr>
          <w:rFonts w:ascii="Arial" w:hAnsi="Arial" w:cs="Arial"/>
          <w:color w:val="222222"/>
          <w:sz w:val="20"/>
          <w:szCs w:val="20"/>
          <w:shd w:val="clear" w:color="auto" w:fill="FFFFFF"/>
        </w:rPr>
        <w:t xml:space="preserve">, 7(45), 561–571. </w:t>
      </w:r>
    </w:p>
    <w:p w14:paraId="50317799" w14:textId="77777777" w:rsidR="00BA5233" w:rsidRPr="00616C11" w:rsidRDefault="00BA5233" w:rsidP="00BA5233"/>
    <w:p w14:paraId="571BF2C7" w14:textId="77777777" w:rsidR="00DF1402" w:rsidRDefault="00DF1402"/>
    <w:sectPr w:rsidR="00DF1402" w:rsidSect="00BA5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33"/>
    <w:rsid w:val="006D54BC"/>
    <w:rsid w:val="008357A4"/>
    <w:rsid w:val="009F1197"/>
    <w:rsid w:val="00AC2A01"/>
    <w:rsid w:val="00BA5233"/>
    <w:rsid w:val="00DF1402"/>
    <w:rsid w:val="00FA107C"/>
    <w:rsid w:val="00FB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30798"/>
  <w15:chartTrackingRefBased/>
  <w15:docId w15:val="{724DB210-D619-E04E-A750-95B91EB6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233"/>
  </w:style>
  <w:style w:type="paragraph" w:styleId="Heading1">
    <w:name w:val="heading 1"/>
    <w:basedOn w:val="Normal"/>
    <w:next w:val="Normal"/>
    <w:link w:val="Heading1Char"/>
    <w:uiPriority w:val="9"/>
    <w:qFormat/>
    <w:rsid w:val="00BA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233"/>
    <w:rPr>
      <w:rFonts w:eastAsiaTheme="majorEastAsia" w:cstheme="majorBidi"/>
      <w:color w:val="272727" w:themeColor="text1" w:themeTint="D8"/>
    </w:rPr>
  </w:style>
  <w:style w:type="paragraph" w:styleId="Title">
    <w:name w:val="Title"/>
    <w:basedOn w:val="Normal"/>
    <w:next w:val="Normal"/>
    <w:link w:val="TitleChar"/>
    <w:uiPriority w:val="10"/>
    <w:qFormat/>
    <w:rsid w:val="00BA52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2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2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5233"/>
    <w:rPr>
      <w:i/>
      <w:iCs/>
      <w:color w:val="404040" w:themeColor="text1" w:themeTint="BF"/>
    </w:rPr>
  </w:style>
  <w:style w:type="paragraph" w:styleId="ListParagraph">
    <w:name w:val="List Paragraph"/>
    <w:basedOn w:val="Normal"/>
    <w:uiPriority w:val="34"/>
    <w:qFormat/>
    <w:rsid w:val="00BA5233"/>
    <w:pPr>
      <w:ind w:left="720"/>
      <w:contextualSpacing/>
    </w:pPr>
  </w:style>
  <w:style w:type="character" w:styleId="IntenseEmphasis">
    <w:name w:val="Intense Emphasis"/>
    <w:basedOn w:val="DefaultParagraphFont"/>
    <w:uiPriority w:val="21"/>
    <w:qFormat/>
    <w:rsid w:val="00BA5233"/>
    <w:rPr>
      <w:i/>
      <w:iCs/>
      <w:color w:val="0F4761" w:themeColor="accent1" w:themeShade="BF"/>
    </w:rPr>
  </w:style>
  <w:style w:type="paragraph" w:styleId="IntenseQuote">
    <w:name w:val="Intense Quote"/>
    <w:basedOn w:val="Normal"/>
    <w:next w:val="Normal"/>
    <w:link w:val="IntenseQuoteChar"/>
    <w:uiPriority w:val="30"/>
    <w:qFormat/>
    <w:rsid w:val="00BA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233"/>
    <w:rPr>
      <w:i/>
      <w:iCs/>
      <w:color w:val="0F4761" w:themeColor="accent1" w:themeShade="BF"/>
    </w:rPr>
  </w:style>
  <w:style w:type="character" w:styleId="IntenseReference">
    <w:name w:val="Intense Reference"/>
    <w:basedOn w:val="DefaultParagraphFont"/>
    <w:uiPriority w:val="32"/>
    <w:qFormat/>
    <w:rsid w:val="00BA5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1</cp:revision>
  <dcterms:created xsi:type="dcterms:W3CDTF">2026-06-12T18:12:00Z</dcterms:created>
  <dcterms:modified xsi:type="dcterms:W3CDTF">2026-06-12T18:12:00Z</dcterms:modified>
</cp:coreProperties>
</file>