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B7F30" w14:textId="77777777" w:rsidR="00C62E2D" w:rsidRDefault="00C62E2D">
      <w:r w:rsidRPr="00C62E2D">
        <w:t xml:space="preserve">This model assumes environmental transmission, but where the parasite actively seeks out hosts. Contact is thus controlled by the parasite (so </w:t>
      </w:r>
      <m:oMath>
        <m:r>
          <w:rPr>
            <w:rFonts w:ascii="Cambria Math" w:hAnsi="Cambria Math"/>
          </w:rPr>
          <m:t>β</m:t>
        </m:r>
      </m:oMath>
      <w:r>
        <w:t xml:space="preserve"> quantifies</w:t>
      </w:r>
      <w:r w:rsidRPr="00C62E2D">
        <w:t xml:space="preserve"> both the contact and infection processes), and contact is assumed to remove parasites from the environment. </w:t>
      </w:r>
      <w:r>
        <w:t xml:space="preserve">There are two hosts. </w:t>
      </w:r>
      <w:r w:rsidRPr="00C62E2D">
        <w:t>I assume that the resident parasite strain exploits a single host and ask whether a mutant that exploit</w:t>
      </w:r>
      <w:r>
        <w:t xml:space="preserve">s both hosts can invade. I assume that the cost of this </w:t>
      </w:r>
      <w:proofErr w:type="spellStart"/>
      <w:r>
        <w:t>generalism</w:t>
      </w:r>
      <w:proofErr w:type="spellEnd"/>
      <w:r w:rsidRPr="00C62E2D">
        <w:t xml:space="preserve"> </w:t>
      </w:r>
      <w:r>
        <w:t>is that</w:t>
      </w:r>
      <w:r w:rsidRPr="00C62E2D">
        <w:t xml:space="preserve"> the shedding rate from both hosts</w:t>
      </w:r>
      <w:r>
        <w:t xml:space="preserve"> is reduced by a factor </w:t>
      </w:r>
      <w:r>
        <w:rPr>
          <w:i/>
        </w:rPr>
        <w:t>a</w:t>
      </w:r>
      <w:r w:rsidRPr="00C62E2D">
        <w:t xml:space="preserve">. </w:t>
      </w:r>
    </w:p>
    <w:p w14:paraId="0FFB1A93" w14:textId="77777777" w:rsidR="00C62E2D" w:rsidRDefault="00C62E2D"/>
    <w:p w14:paraId="2F372D7B" w14:textId="77777777" w:rsidR="00BA0D24" w:rsidRDefault="00C62E2D">
      <w:r w:rsidRPr="00C62E2D">
        <w:t xml:space="preserve">I am going to explore the consequence of varying the carrying capacity and host mortality rate on the evolution of </w:t>
      </w:r>
      <w:proofErr w:type="spellStart"/>
      <w:r w:rsidRPr="00C62E2D">
        <w:t>generalism</w:t>
      </w:r>
      <w:proofErr w:type="spellEnd"/>
      <w:r w:rsidRPr="00C62E2D">
        <w:t xml:space="preserve">. As such, I will let </w:t>
      </w:r>
      <w:r w:rsidRPr="00C62E2D">
        <w:rPr>
          <w:i/>
        </w:rPr>
        <w:t>K</w:t>
      </w:r>
      <w:r w:rsidRPr="00C62E2D">
        <w:t xml:space="preserve"> be the carrying capacity of the first host and </w:t>
      </w:r>
      <w:proofErr w:type="spellStart"/>
      <w:r w:rsidRPr="00C62E2D">
        <w:rPr>
          <w:i/>
        </w:rPr>
        <w:t>kK</w:t>
      </w:r>
      <w:proofErr w:type="spellEnd"/>
      <w:r w:rsidRPr="00C62E2D">
        <w:t xml:space="preserve"> </w:t>
      </w:r>
      <w:proofErr w:type="gramStart"/>
      <w:r w:rsidRPr="00C62E2D">
        <w:t>be</w:t>
      </w:r>
      <w:proofErr w:type="gramEnd"/>
      <w:r w:rsidRPr="00C62E2D">
        <w:t xml:space="preserve"> the carrying capacity of the second host; similarly, </w:t>
      </w:r>
      <m:oMath>
        <m:r>
          <w:rPr>
            <w:rFonts w:ascii="Cambria Math" w:hAnsi="Cambria Math"/>
          </w:rPr>
          <m:t xml:space="preserve">μ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mμ</m:t>
        </m:r>
      </m:oMath>
      <w:r w:rsidRPr="00C62E2D">
        <w:t xml:space="preserve"> will be the mortality rates for hosts 1 and 2, respectively. For simplicity, I will assume that all other parameters (traits) are equal between the hosts and parasites.</w:t>
      </w:r>
    </w:p>
    <w:p w14:paraId="72D8845F" w14:textId="77777777" w:rsidR="00C62E2D" w:rsidRDefault="00C62E2D"/>
    <w:p w14:paraId="775B35A8" w14:textId="77777777" w:rsidR="00C62E2D" w:rsidRDefault="00C62E2D">
      <w:r>
        <w:t>The full system is then</w:t>
      </w:r>
    </w:p>
    <w:p w14:paraId="012665B2" w14:textId="77777777" w:rsidR="00C62E2D" w:rsidRPr="00C62E2D" w:rsidRDefault="0003266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1,r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1,m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3918144A" w14:textId="77777777" w:rsidR="00C62E2D" w:rsidRPr="00C62E2D" w:rsidRDefault="00C62E2D"/>
    <w:p w14:paraId="6BCF1E51" w14:textId="77777777" w:rsidR="00C62E2D" w:rsidRPr="00C62E2D" w:rsidRDefault="0003266C" w:rsidP="00C62E2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2,m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kK</m:t>
                  </m:r>
                </m:den>
              </m:f>
            </m:e>
          </m:d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03CB0104" w14:textId="77777777" w:rsidR="00C62E2D" w:rsidRPr="00C62E2D" w:rsidRDefault="00C62E2D" w:rsidP="00C62E2D"/>
    <w:p w14:paraId="1DF2A609" w14:textId="77777777" w:rsidR="00C62E2D" w:rsidRPr="00C62E2D" w:rsidRDefault="0003266C" w:rsidP="00C62E2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1,r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1,r</m:t>
              </m:r>
            </m:sub>
          </m:sSub>
        </m:oMath>
      </m:oMathPara>
    </w:p>
    <w:p w14:paraId="00D867DD" w14:textId="77777777" w:rsidR="00C62E2D" w:rsidRPr="00C62E2D" w:rsidRDefault="00C62E2D" w:rsidP="00C62E2D"/>
    <w:p w14:paraId="09152C6E" w14:textId="77777777" w:rsidR="00C62E2D" w:rsidRPr="00C62E2D" w:rsidRDefault="0003266C" w:rsidP="00C62E2D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1,m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1,m</m:t>
              </m:r>
            </m:sub>
          </m:sSub>
        </m:oMath>
      </m:oMathPara>
    </w:p>
    <w:p w14:paraId="0C5632B6" w14:textId="77777777" w:rsidR="00C62E2D" w:rsidRPr="00C62E2D" w:rsidRDefault="00C62E2D" w:rsidP="00C62E2D">
      <w:pPr>
        <w:jc w:val="both"/>
      </w:pPr>
    </w:p>
    <w:p w14:paraId="61E41851" w14:textId="77777777" w:rsidR="00C62E2D" w:rsidRPr="00C62E2D" w:rsidRDefault="0003266C" w:rsidP="00C62E2D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2,m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-mμ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2,m</m:t>
              </m:r>
            </m:sub>
          </m:sSub>
        </m:oMath>
      </m:oMathPara>
    </w:p>
    <w:p w14:paraId="0685B35C" w14:textId="77777777" w:rsidR="00C62E2D" w:rsidRPr="00C62E2D" w:rsidRDefault="00C62E2D" w:rsidP="00C62E2D">
      <w:pPr>
        <w:jc w:val="both"/>
      </w:pPr>
    </w:p>
    <w:p w14:paraId="523E76A2" w14:textId="77777777" w:rsidR="00C62E2D" w:rsidRPr="00C62E2D" w:rsidRDefault="0003266C" w:rsidP="00C62E2D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1,r</m:t>
              </m:r>
            </m:sub>
          </m:sSub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15A171E" w14:textId="77777777" w:rsidR="00C62E2D" w:rsidRPr="00C62E2D" w:rsidRDefault="00C62E2D" w:rsidP="00C62E2D">
      <w:pPr>
        <w:jc w:val="both"/>
      </w:pPr>
    </w:p>
    <w:p w14:paraId="3835B3D0" w14:textId="77777777" w:rsidR="00C62E2D" w:rsidRPr="00C62E2D" w:rsidRDefault="0003266C" w:rsidP="00C62E2D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1,m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2,m</m:t>
                  </m:r>
                </m:sub>
              </m:sSub>
            </m:e>
          </m:d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7F400B33" w14:textId="77777777" w:rsidR="00C62E2D" w:rsidRDefault="00C62E2D" w:rsidP="00C62E2D">
      <w:pPr>
        <w:jc w:val="both"/>
      </w:pPr>
    </w:p>
    <w:p w14:paraId="56FA9F28" w14:textId="77777777" w:rsidR="00C62E2D" w:rsidRDefault="00C62E2D" w:rsidP="00C62E2D">
      <w:r>
        <w:t>For the invasion analysis, we assume that the resident parasite comes t</w:t>
      </w:r>
      <w:r w:rsidR="00704652">
        <w:t>o its</w:t>
      </w:r>
      <w:r>
        <w:t xml:space="preserve"> ecological equilibrium with the hosts. Since it does not parasitize the second host,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will go to its carrying capacity. The </w:t>
      </w:r>
      <w:r w:rsidR="00704652">
        <w:t>endemic equilibrium host densities</w:t>
      </w:r>
      <w:r>
        <w:t xml:space="preserve"> are</w:t>
      </w:r>
    </w:p>
    <w:p w14:paraId="67B8B6A4" w14:textId="77777777" w:rsidR="00C62E2D" w:rsidRPr="00C62E2D" w:rsidRDefault="0003266C" w:rsidP="00C62E2D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γμ</m:t>
              </m:r>
            </m:num>
            <m:den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and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=kK</m:t>
          </m:r>
          <m:r>
            <m:rPr>
              <m:sty m:val="p"/>
            </m:rPr>
            <w:rPr>
              <w:rFonts w:ascii="Cambria Math" w:hAnsi="Cambria Math"/>
            </w:rPr>
            <m:t xml:space="preserve"> .</m:t>
          </m:r>
        </m:oMath>
      </m:oMathPara>
    </w:p>
    <w:p w14:paraId="3443AE1C" w14:textId="77777777" w:rsidR="00704652" w:rsidRDefault="00704652" w:rsidP="00C62E2D"/>
    <w:p w14:paraId="237B3DAB" w14:textId="77777777" w:rsidR="00C62E2D" w:rsidRDefault="00C62E2D" w:rsidP="00C62E2D">
      <w:r>
        <w:t xml:space="preserve">Evaluating the stability of this equilibrium is </w:t>
      </w:r>
      <w:r w:rsidR="00704652">
        <w:t xml:space="preserve">a pain, but for it to have any hope of being stable (which invasion analysis usually assumes the equilibrium is), the </w:t>
      </w:r>
      <w:r w:rsidR="00704652">
        <w:lastRenderedPageBreak/>
        <w:t xml:space="preserve">extinction equilibrium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=K, 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1,r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=0,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=0</m:t>
            </m:r>
          </m:e>
        </m:d>
      </m:oMath>
      <w:r w:rsidR="00704652">
        <w:t xml:space="preserve"> must be unstable. This equilibrium is unstable if </w:t>
      </w:r>
    </w:p>
    <w:p w14:paraId="49F98643" w14:textId="77777777" w:rsidR="00704652" w:rsidRPr="00704652" w:rsidRDefault="0003266C" w:rsidP="00C62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γμ</m:t>
              </m:r>
            </m:den>
          </m:f>
          <m:r>
            <w:rPr>
              <w:rFonts w:ascii="Cambria Math" w:hAnsi="Cambria Math"/>
            </w:rPr>
            <m:t>&gt;1.</m:t>
          </m:r>
        </m:oMath>
      </m:oMathPara>
    </w:p>
    <w:p w14:paraId="04A09A93" w14:textId="77777777" w:rsidR="00704652" w:rsidRDefault="00704652" w:rsidP="00C62E2D">
      <w:r>
        <w:t xml:space="preserve">This defines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for this parasite</w:t>
      </w:r>
      <w:r w:rsidR="00F11B70">
        <w:t xml:space="preserve"> (note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F11B70">
        <w:t xml:space="preserve"> is the fraction of the host population that remains susceptible at equilibrium).</w:t>
      </w:r>
    </w:p>
    <w:p w14:paraId="2056B1E7" w14:textId="77777777" w:rsidR="00F11B70" w:rsidRDefault="00F11B70" w:rsidP="00C62E2D"/>
    <w:p w14:paraId="38F39CBF" w14:textId="77777777" w:rsidR="00F11B70" w:rsidRDefault="00F11B70" w:rsidP="00C62E2D">
      <w:r>
        <w:t xml:space="preserve">To determine whether a mutant parasite can invade the system, we are essentially asking whether the mutant parasite-free equilibrium of the full system is unstable. To evaluate at this, we can take advantage of the fact that the </w:t>
      </w:r>
      <w:proofErr w:type="spellStart"/>
      <w:r>
        <w:t>Jacobian</w:t>
      </w:r>
      <w:proofErr w:type="spellEnd"/>
      <w:r>
        <w:t xml:space="preserve"> matrix at this equilibrium is upper block-triangular (that is, it can be written as)</w:t>
      </w:r>
    </w:p>
    <w:p w14:paraId="74D11D35" w14:textId="77777777" w:rsidR="00F11B70" w:rsidRPr="00F11B70" w:rsidRDefault="00F11B70" w:rsidP="00C62E2D">
      <m:oMathPara>
        <m:oMath>
          <m:r>
            <w:rPr>
              <w:rFonts w:ascii="Cambria Math" w:hAnsi="Cambria Math"/>
            </w:rPr>
            <m:t>J=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55A6195" w14:textId="77777777" w:rsidR="00521A82" w:rsidRDefault="00F11B70" w:rsidP="00C62E2D">
      <w:r>
        <w:t xml:space="preserve">The eigenvalues of this matrix (which determine the stability of the equilibrium) are given by the eigenvalues of the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. The eigenvalues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determine the stability of the resident-only system – by assumption, the resident-only system is stable. Thus, we only need to look at the eigenvalues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21A82">
        <w:t>:</w:t>
      </w:r>
    </w:p>
    <w:p w14:paraId="475E5730" w14:textId="77777777" w:rsidR="00F11B70" w:rsidRPr="0003266C" w:rsidRDefault="0003266C" w:rsidP="00C62E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-m 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-γ</m:t>
                    </m:r>
                  </m:e>
                </m:mr>
              </m:m>
            </m:e>
          </m:d>
        </m:oMath>
      </m:oMathPara>
    </w:p>
    <w:p w14:paraId="09439FE9" w14:textId="77777777" w:rsidR="0003266C" w:rsidRDefault="0003266C" w:rsidP="00C62E2D">
      <w:r>
        <w:t xml:space="preserve">Applying the next-generation matrix theorem, we can determine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will have a positive eigenvalue (and thus, the mutant-free equilibrium will be unstable) if</w:t>
      </w:r>
    </w:p>
    <w:p w14:paraId="025A6E76" w14:textId="77777777" w:rsidR="0003266C" w:rsidRPr="00704652" w:rsidRDefault="0003266C" w:rsidP="00C62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aλ-μ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μγ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aλ-mμ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mμγ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&gt;1.</m:t>
          </m:r>
        </m:oMath>
      </m:oMathPara>
    </w:p>
    <w:p w14:paraId="624C5CE9" w14:textId="77777777" w:rsidR="00704652" w:rsidRDefault="00704652" w:rsidP="00C62E2D"/>
    <w:p w14:paraId="269551C2" w14:textId="77777777" w:rsidR="0003266C" w:rsidRPr="00C62E2D" w:rsidRDefault="0003266C" w:rsidP="00C62E2D"/>
    <w:p w14:paraId="496E344D" w14:textId="77777777" w:rsidR="00C62E2D" w:rsidRDefault="0003266C" w:rsidP="00C62E2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aλ-μ</m:t>
                </m:r>
              </m:e>
            </m:d>
          </m:num>
          <m:den>
            <m:r>
              <w:rPr>
                <w:rFonts w:ascii="Cambria Math" w:hAnsi="Cambria Math"/>
              </w:rPr>
              <m:t>μγ</m:t>
            </m:r>
          </m:den>
        </m:f>
      </m:oMath>
      <w:r>
        <w:t xml:space="preserve">  </w:t>
      </w:r>
      <w:proofErr w:type="gramStart"/>
      <w:r>
        <w:t>is</w:t>
      </w:r>
      <w:proofErr w:type="gramEnd"/>
      <w:r>
        <w:t xml:space="preserve"> the number of new mutant parasite infections generated per infected host 1, when the mutant parasite is invading a fully susceptible host population (and only infecting this host); similarly,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aλ-mμ</m:t>
                </m:r>
              </m:e>
            </m:d>
          </m:num>
          <m:den>
            <m:r>
              <w:rPr>
                <w:rFonts w:ascii="Cambria Math" w:hAnsi="Cambria Math"/>
              </w:rPr>
              <m:t>mμγ</m:t>
            </m:r>
          </m:den>
        </m:f>
      </m:oMath>
      <w:r>
        <w:t xml:space="preserve"> is the number of new mutant parasite infections generated per infected host 2.</w:t>
      </w:r>
    </w:p>
    <w:p w14:paraId="23D949FD" w14:textId="77777777" w:rsidR="0003266C" w:rsidRDefault="0003266C" w:rsidP="00C62E2D"/>
    <w:p w14:paraId="61F8247B" w14:textId="77777777" w:rsidR="0003266C" w:rsidRDefault="0003266C" w:rsidP="00C62E2D">
      <w:r>
        <w:t>If we plug in the resident parasite endemic equilibrium, this condition can be rewritten as</w:t>
      </w:r>
    </w:p>
    <w:p w14:paraId="079C7E05" w14:textId="77777777" w:rsidR="0003266C" w:rsidRPr="00910C9B" w:rsidRDefault="0003266C" w:rsidP="00C62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aλ-μ</m:t>
              </m:r>
            </m:num>
            <m:den>
              <m:r>
                <w:rPr>
                  <w:rFonts w:ascii="Cambria Math" w:hAnsi="Cambria Math"/>
                </w:rPr>
                <m:t>λ-μ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βkK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aλ-mμ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mμγ</m:t>
              </m:r>
            </m:den>
          </m:f>
          <m:r>
            <w:rPr>
              <w:rFonts w:ascii="Cambria Math" w:hAnsi="Cambria Math"/>
            </w:rPr>
            <m:t>&gt;1</m:t>
          </m:r>
        </m:oMath>
      </m:oMathPara>
    </w:p>
    <w:p w14:paraId="199B388C" w14:textId="77777777" w:rsidR="00910C9B" w:rsidRPr="00910C9B" w:rsidRDefault="00910C9B" w:rsidP="00C62E2D">
      <w:r>
        <w:t xml:space="preserve">Note that the term on the left must be less than one, since </w:t>
      </w:r>
      <m:oMath>
        <m:r>
          <w:rPr>
            <w:rFonts w:ascii="Cambria Math" w:hAnsi="Cambria Math"/>
          </w:rPr>
          <m:t>a&lt;1</m:t>
        </m:r>
      </m:oMath>
      <w:r>
        <w:t xml:space="preserve"> by definition as the cost of </w:t>
      </w:r>
      <w:proofErr w:type="spellStart"/>
      <w:r>
        <w:t>generalism</w:t>
      </w:r>
      <w:proofErr w:type="spellEnd"/>
      <w:r>
        <w:t xml:space="preserve">. Thus, we require that </w:t>
      </w:r>
      <m:oMath>
        <m:r>
          <w:rPr>
            <w:rFonts w:ascii="Cambria Math" w:hAnsi="Cambria Math"/>
          </w:rPr>
          <m:t>aλ-mμ&gt;0</m:t>
        </m:r>
      </m:oMath>
      <w:r>
        <w:t xml:space="preserve"> for invasion to have </w:t>
      </w:r>
      <w:r>
        <w:rPr>
          <w:i/>
        </w:rPr>
        <w:t xml:space="preserve">any </w:t>
      </w:r>
      <w:r>
        <w:t xml:space="preserve">chance of succeeding. </w:t>
      </w:r>
    </w:p>
    <w:p w14:paraId="72D50535" w14:textId="77777777" w:rsidR="0003266C" w:rsidRDefault="0003266C" w:rsidP="00C62E2D"/>
    <w:p w14:paraId="7135C4DA" w14:textId="77777777" w:rsidR="0003266C" w:rsidRDefault="0003266C" w:rsidP="00C62E2D">
      <w:r>
        <w:t xml:space="preserve">At this point, we can plug in values for the different parameters and investigate under what combinations of cost and host traits a generalist can invade. But we can also get a bit more insight by considering how changing the values of host and parasite traits (parameters) affect the magnitude of the invasion </w:t>
      </w:r>
      <w:r w:rsidR="00910C9B">
        <w:t>fitness (the expression on the left side of the invasion criterion)</w:t>
      </w:r>
      <w:r>
        <w:t xml:space="preserve">. That is, we can look at the derivatives of the invasion </w:t>
      </w:r>
      <w:r w:rsidR="00910C9B">
        <w:t>fitness</w:t>
      </w:r>
      <w:r>
        <w:t xml:space="preserve"> with respect to host and parasite traits. For example, the derivative </w:t>
      </w:r>
      <w:r w:rsidR="00910C9B">
        <w:t xml:space="preserve">of the invasion fitness (let’s call it </w:t>
      </w:r>
      <w:r w:rsidR="00910C9B">
        <w:rPr>
          <w:i/>
        </w:rPr>
        <w:t xml:space="preserve">r </w:t>
      </w:r>
      <w:r w:rsidR="00910C9B">
        <w:t xml:space="preserve">for simplicity) </w:t>
      </w:r>
      <w:r>
        <w:t xml:space="preserve">with respect to </w:t>
      </w:r>
      <w:r>
        <w:rPr>
          <w:i/>
        </w:rPr>
        <w:t>a</w:t>
      </w:r>
      <w:r>
        <w:t xml:space="preserve"> is just</w:t>
      </w:r>
    </w:p>
    <w:p w14:paraId="36CDD01D" w14:textId="77777777" w:rsidR="0003266C" w:rsidRPr="0003266C" w:rsidRDefault="00910C9B" w:rsidP="00C62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λ-μ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λβkK</m:t>
              </m:r>
            </m:num>
            <m:den>
              <m:r>
                <w:rPr>
                  <w:rFonts w:ascii="Cambria Math" w:hAnsi="Cambria Math"/>
                </w:rPr>
                <m:t>mμγ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 w14:paraId="10B5B830" w14:textId="77777777" w:rsidR="00910C9B" w:rsidRDefault="0003266C" w:rsidP="00C62E2D">
      <w:proofErr w:type="gramStart"/>
      <w:r>
        <w:t>which</w:t>
      </w:r>
      <w:proofErr w:type="gramEnd"/>
      <w:r>
        <w:t xml:space="preserve"> is always positive. What this means is that, as the cost of </w:t>
      </w:r>
      <w:proofErr w:type="spellStart"/>
      <w:r>
        <w:t>generalism</w:t>
      </w:r>
      <w:proofErr w:type="spellEnd"/>
      <w:r>
        <w:t xml:space="preserve"> goes down (</w:t>
      </w:r>
      <w:r>
        <w:rPr>
          <w:i/>
        </w:rPr>
        <w:t>a</w:t>
      </w:r>
      <w:r>
        <w:t xml:space="preserve"> increases), the </w:t>
      </w:r>
      <w:r w:rsidR="00910C9B">
        <w:t xml:space="preserve">invasion fitness increases, meaning that invasion is more likely. This result is, of course, intuitive. </w:t>
      </w:r>
    </w:p>
    <w:p w14:paraId="2667C023" w14:textId="77777777" w:rsidR="00910C9B" w:rsidRDefault="00910C9B" w:rsidP="00C62E2D"/>
    <w:p w14:paraId="7542C91E" w14:textId="77777777" w:rsidR="00C62E2D" w:rsidRDefault="00910C9B" w:rsidP="00C62E2D">
      <w:r>
        <w:t>If you increase the host carrying capacity, you also get a very simple effect (because host carrying capacity only shows up in one place in the invasion fitness):</w:t>
      </w:r>
    </w:p>
    <w:p w14:paraId="1E2A6BE7" w14:textId="77777777" w:rsidR="00910C9B" w:rsidRPr="0003266C" w:rsidRDefault="00910C9B" w:rsidP="00910C9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aλ-mμ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mμγ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 w14:paraId="5C7A34E3" w14:textId="77777777" w:rsidR="00910C9B" w:rsidRDefault="00910C9B" w:rsidP="00C62E2D">
      <w:r>
        <w:t xml:space="preserve">Since we require </w:t>
      </w:r>
      <m:oMath>
        <m:r>
          <w:rPr>
            <w:rFonts w:ascii="Cambria Math" w:hAnsi="Cambria Math"/>
          </w:rPr>
          <m:t>aλ-mμ&gt;0</m:t>
        </m:r>
      </m:oMath>
      <w:r>
        <w:t xml:space="preserve">, this is always positive, implying that </w:t>
      </w:r>
      <w:proofErr w:type="spellStart"/>
      <w:r>
        <w:t>generalism</w:t>
      </w:r>
      <w:proofErr w:type="spellEnd"/>
      <w:r>
        <w:t xml:space="preserve"> is more likely when hosts are very abundant.</w:t>
      </w:r>
    </w:p>
    <w:p w14:paraId="574BDC9A" w14:textId="77777777" w:rsidR="00910C9B" w:rsidRDefault="00910C9B" w:rsidP="00C62E2D"/>
    <w:p w14:paraId="145AEE9E" w14:textId="77777777" w:rsidR="00910C9B" w:rsidRDefault="00CF4BD4" w:rsidP="00C62E2D">
      <w:r>
        <w:t>If you increase the mortality rate of infected hosts, on the other hand, you make it harder for a generalist to invade.</w:t>
      </w:r>
    </w:p>
    <w:p w14:paraId="7F80E1BC" w14:textId="77777777" w:rsidR="00CF4BD4" w:rsidRPr="00E62DC2" w:rsidRDefault="00CF4BD4" w:rsidP="00C62E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aλβkK</m:t>
              </m:r>
            </m:num>
            <m:den>
              <m:r>
                <w:rPr>
                  <w:rFonts w:ascii="Cambria Math" w:hAnsi="Cambria Math"/>
                </w:rPr>
                <m:t>mγ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&lt;0</m:t>
          </m:r>
        </m:oMath>
      </m:oMathPara>
    </w:p>
    <w:p w14:paraId="723E2057" w14:textId="77777777" w:rsidR="00E62DC2" w:rsidRDefault="00E62DC2" w:rsidP="00C62E2D"/>
    <w:p w14:paraId="02E45278" w14:textId="77777777" w:rsidR="00D02926" w:rsidRDefault="00D02926" w:rsidP="00C62E2D"/>
    <w:p w14:paraId="04FD1F68" w14:textId="77777777" w:rsidR="00D02926" w:rsidRDefault="00D02926" w:rsidP="00D02926">
      <w:r>
        <w:t>If you increase the mortality rate of parasites in the environment (</w:t>
      </w:r>
      <m:oMath>
        <m:r>
          <w:rPr>
            <w:rFonts w:ascii="Cambria Math" w:hAnsi="Cambria Math"/>
          </w:rPr>
          <m:t>γ</m:t>
        </m:r>
      </m:oMath>
      <w:r>
        <w:t xml:space="preserve">), you make it harder for a generalist to invade. In other words, specialism is more likely in harsher environments. </w:t>
      </w:r>
    </w:p>
    <w:p w14:paraId="1454C052" w14:textId="77777777" w:rsidR="00D02926" w:rsidRDefault="00D02926" w:rsidP="00D02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02926" w14:paraId="6699CF42" w14:textId="77777777" w:rsidTr="00D02926">
        <w:tc>
          <w:tcPr>
            <w:tcW w:w="4428" w:type="dxa"/>
          </w:tcPr>
          <w:p w14:paraId="28701A07" w14:textId="552BA66C" w:rsidR="00D02926" w:rsidRDefault="00D02926" w:rsidP="00D02926">
            <w:r>
              <w:t>Parameter</w:t>
            </w:r>
          </w:p>
        </w:tc>
        <w:tc>
          <w:tcPr>
            <w:tcW w:w="4428" w:type="dxa"/>
          </w:tcPr>
          <w:p w14:paraId="6FA34BA4" w14:textId="13B12132" w:rsidR="00D02926" w:rsidRDefault="00D02926" w:rsidP="00D02926">
            <w:r>
              <w:t>Effect of increasing the parameter value on invasion fitness</w:t>
            </w:r>
          </w:p>
        </w:tc>
      </w:tr>
      <w:tr w:rsidR="00D02926" w14:paraId="03AFDFFB" w14:textId="77777777" w:rsidTr="00D02926">
        <w:tc>
          <w:tcPr>
            <w:tcW w:w="4428" w:type="dxa"/>
          </w:tcPr>
          <w:p w14:paraId="35B0FA68" w14:textId="3AC1CC7D" w:rsidR="00D02926" w:rsidRPr="00D02926" w:rsidRDefault="00D02926" w:rsidP="00D02926">
            <w:pPr>
              <w:rPr>
                <w:i/>
              </w:rPr>
            </w:pPr>
            <w:r>
              <w:t xml:space="preserve">Cost of </w:t>
            </w:r>
            <w:proofErr w:type="spellStart"/>
            <w:r>
              <w:t>generalism</w:t>
            </w:r>
            <w:proofErr w:type="spellEnd"/>
            <w:r>
              <w:t xml:space="preserve"> </w:t>
            </w:r>
            <w:r>
              <w:rPr>
                <w:i/>
              </w:rPr>
              <w:t>a</w:t>
            </w:r>
          </w:p>
        </w:tc>
        <w:tc>
          <w:tcPr>
            <w:tcW w:w="4428" w:type="dxa"/>
          </w:tcPr>
          <w:p w14:paraId="6183430B" w14:textId="19029086" w:rsidR="00D02926" w:rsidRDefault="00D02926" w:rsidP="00D02926">
            <w:r>
              <w:t>Increases</w:t>
            </w:r>
          </w:p>
        </w:tc>
      </w:tr>
      <w:tr w:rsidR="00D02926" w14:paraId="7533D684" w14:textId="77777777" w:rsidTr="00D02926">
        <w:tc>
          <w:tcPr>
            <w:tcW w:w="4428" w:type="dxa"/>
          </w:tcPr>
          <w:p w14:paraId="0D3051A4" w14:textId="0B5F46BA" w:rsidR="00D02926" w:rsidRDefault="00D02926" w:rsidP="00D02926">
            <w:r>
              <w:t xml:space="preserve">Parasite shedding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  <w:tc>
          <w:tcPr>
            <w:tcW w:w="4428" w:type="dxa"/>
          </w:tcPr>
          <w:p w14:paraId="11B8AF90" w14:textId="70B922DF" w:rsidR="00D02926" w:rsidRDefault="00D02926" w:rsidP="00D02926">
            <w:r>
              <w:t>Increases</w:t>
            </w:r>
          </w:p>
        </w:tc>
      </w:tr>
      <w:tr w:rsidR="00D02926" w14:paraId="33A155DC" w14:textId="77777777" w:rsidTr="00D02926">
        <w:tc>
          <w:tcPr>
            <w:tcW w:w="4428" w:type="dxa"/>
          </w:tcPr>
          <w:p w14:paraId="60B9706D" w14:textId="67B4D57D" w:rsidR="00D02926" w:rsidRPr="00D02926" w:rsidRDefault="00D02926" w:rsidP="00D02926">
            <w:r>
              <w:t xml:space="preserve">Host carrying capacity </w:t>
            </w:r>
            <w:r>
              <w:rPr>
                <w:i/>
              </w:rPr>
              <w:t>K</w:t>
            </w:r>
          </w:p>
        </w:tc>
        <w:tc>
          <w:tcPr>
            <w:tcW w:w="4428" w:type="dxa"/>
          </w:tcPr>
          <w:p w14:paraId="451AE3C8" w14:textId="1F6F1C8A" w:rsidR="00D02926" w:rsidRDefault="00D02926" w:rsidP="00D02926">
            <w:r>
              <w:t>Increases</w:t>
            </w:r>
          </w:p>
        </w:tc>
      </w:tr>
      <w:tr w:rsidR="00D02926" w14:paraId="019B948B" w14:textId="77777777" w:rsidTr="00D02926">
        <w:tc>
          <w:tcPr>
            <w:tcW w:w="4428" w:type="dxa"/>
          </w:tcPr>
          <w:p w14:paraId="4F67A978" w14:textId="79BDE75B" w:rsidR="00D02926" w:rsidRDefault="00D02926" w:rsidP="00D02926">
            <w:r>
              <w:t xml:space="preserve">Host background mortality rate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4428" w:type="dxa"/>
          </w:tcPr>
          <w:p w14:paraId="56DD448C" w14:textId="6193D931" w:rsidR="00D02926" w:rsidRDefault="00D02926" w:rsidP="00D02926">
            <w:r>
              <w:t>Decreases</w:t>
            </w:r>
          </w:p>
        </w:tc>
      </w:tr>
      <w:tr w:rsidR="00D02926" w14:paraId="79A54A98" w14:textId="77777777" w:rsidTr="00D02926">
        <w:tc>
          <w:tcPr>
            <w:tcW w:w="4428" w:type="dxa"/>
          </w:tcPr>
          <w:p w14:paraId="489E3844" w14:textId="3863DE04" w:rsidR="00D02926" w:rsidRDefault="00D02926" w:rsidP="00D02926">
            <w:r>
              <w:t xml:space="preserve">Parasite mortality rate </w:t>
            </w:r>
            <m:oMath>
              <m: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4428" w:type="dxa"/>
          </w:tcPr>
          <w:p w14:paraId="78E16324" w14:textId="578FFF94" w:rsidR="00D02926" w:rsidRDefault="00D02926" w:rsidP="00D02926">
            <w:r>
              <w:t>Decreases</w:t>
            </w:r>
          </w:p>
        </w:tc>
      </w:tr>
    </w:tbl>
    <w:p w14:paraId="0C3C69B6" w14:textId="4A4CB013" w:rsidR="00D02926" w:rsidRDefault="00D02926" w:rsidP="00C62E2D">
      <w:r>
        <w:t xml:space="preserve"> </w:t>
      </w:r>
    </w:p>
    <w:p w14:paraId="546B9547" w14:textId="2E4FE9B4" w:rsidR="00E62DC2" w:rsidRDefault="00E62DC2" w:rsidP="00C62E2D">
      <w:r>
        <w:t xml:space="preserve">None of these results are </w:t>
      </w:r>
      <w:r w:rsidR="00D02926">
        <w:t>surprising, which is itself not surprising – invasion analyses are typically only surprising when there are trade-offs between parameters of the model. For this system, there actually are some trade-offs that are not being considered at the moment. In particular, metabolic scaling theory predicts that host body size</w:t>
      </w:r>
      <w:r w:rsidR="00517409">
        <w:t xml:space="preserve"> and temperature</w:t>
      </w:r>
      <w:r w:rsidR="00D02926">
        <w:t xml:space="preserve"> will </w:t>
      </w:r>
      <w:r w:rsidR="00517409">
        <w:t xml:space="preserve">both </w:t>
      </w:r>
      <w:r w:rsidR="00D02926">
        <w:t>simultaneously affect both host carrying capacity and host mortality rate.</w:t>
      </w:r>
      <w:r w:rsidR="00517409">
        <w:t xml:space="preserve"> Savage et al. 2004 </w:t>
      </w:r>
      <w:r w:rsidR="00987917">
        <w:t>suggests that carrying capacity should scale as</w:t>
      </w:r>
    </w:p>
    <w:p w14:paraId="4ADAF3EA" w14:textId="00F40A21" w:rsidR="00517409" w:rsidRPr="00517409" w:rsidRDefault="00517409" w:rsidP="00C62E2D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W,T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14:paraId="69E6B054" w14:textId="5200FF93" w:rsidR="00517409" w:rsidRDefault="00517409" w:rsidP="00C62E2D">
      <w:proofErr w:type="gramStart"/>
      <w:r>
        <w:t>where</w:t>
      </w:r>
      <w:proofErr w:type="gramEnd"/>
      <w:r>
        <w:t xml:space="preserve"> </w:t>
      </w:r>
      <w:r>
        <w:rPr>
          <w:i/>
        </w:rPr>
        <w:t>E</w:t>
      </w:r>
      <w:r>
        <w:t xml:space="preserve"> is the “average activation energy of rate-limiting biochemical metabolic reactions”, </w:t>
      </w:r>
      <w:r>
        <w:rPr>
          <w:i/>
        </w:rPr>
        <w:t>k</w:t>
      </w:r>
      <w:r>
        <w:t xml:space="preserve"> is Boltzmann’s constant, </w:t>
      </w:r>
      <w:r>
        <w:rPr>
          <w:i/>
        </w:rPr>
        <w:t>T</w:t>
      </w:r>
      <w:r>
        <w:t xml:space="preserve"> is the temperature</w:t>
      </w:r>
      <w:r>
        <w:rPr>
          <w:i/>
        </w:rPr>
        <w:t xml:space="preserve">, </w:t>
      </w:r>
      <w:r>
        <w:t xml:space="preserve">and </w:t>
      </w:r>
      <w:r>
        <w:rPr>
          <w:i/>
        </w:rPr>
        <w:t>W</w:t>
      </w:r>
      <w:r>
        <w:t xml:space="preserve"> is mass.</w:t>
      </w:r>
      <w:r w:rsidR="00987917">
        <w:t xml:space="preserve"> He reports that, for fish, </w:t>
      </w:r>
      <m:oMath>
        <m:r>
          <w:rPr>
            <w:rFonts w:ascii="Cambria Math" w:hAnsi="Cambria Math"/>
          </w:rPr>
          <m:t>E=-0.43</m:t>
        </m:r>
      </m:oMath>
      <w:r w:rsidR="00987917">
        <w:t xml:space="preserve"> </w:t>
      </w:r>
      <w:proofErr w:type="spellStart"/>
      <w:r w:rsidR="00987917">
        <w:t>eV</w:t>
      </w:r>
      <w:proofErr w:type="spellEnd"/>
      <w:r w:rsidR="00987917">
        <w:t xml:space="preserve">. </w:t>
      </w:r>
    </w:p>
    <w:p w14:paraId="24A35665" w14:textId="2936300B" w:rsidR="00987917" w:rsidRPr="00987917" w:rsidRDefault="00987917" w:rsidP="00C62E2D">
      <w:pPr>
        <w:rPr>
          <w:i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W,T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14:paraId="1EDDD730" w14:textId="77777777" w:rsidR="00987917" w:rsidRPr="00987917" w:rsidRDefault="00987917" w:rsidP="00C62E2D">
      <w:bookmarkStart w:id="0" w:name="_GoBack"/>
      <w:bookmarkEnd w:id="0"/>
    </w:p>
    <w:sectPr w:rsidR="00987917" w:rsidRPr="00987917" w:rsidSect="00BA0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2D"/>
    <w:rsid w:val="0003266C"/>
    <w:rsid w:val="002C131C"/>
    <w:rsid w:val="00517409"/>
    <w:rsid w:val="00521A82"/>
    <w:rsid w:val="00704652"/>
    <w:rsid w:val="00910C9B"/>
    <w:rsid w:val="00987917"/>
    <w:rsid w:val="00AC0DB7"/>
    <w:rsid w:val="00BA0D24"/>
    <w:rsid w:val="00C62E2D"/>
    <w:rsid w:val="00CF4BD4"/>
    <w:rsid w:val="00D02926"/>
    <w:rsid w:val="00E62DC2"/>
    <w:rsid w:val="00F1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A29C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2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2E2D"/>
    <w:rPr>
      <w:color w:val="808080"/>
    </w:rPr>
  </w:style>
  <w:style w:type="table" w:styleId="TableGrid">
    <w:name w:val="Table Grid"/>
    <w:basedOn w:val="TableNormal"/>
    <w:uiPriority w:val="59"/>
    <w:rsid w:val="00D02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E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2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2E2D"/>
    <w:rPr>
      <w:color w:val="808080"/>
    </w:rPr>
  </w:style>
  <w:style w:type="table" w:styleId="TableGrid">
    <w:name w:val="Table Grid"/>
    <w:basedOn w:val="TableNormal"/>
    <w:uiPriority w:val="59"/>
    <w:rsid w:val="00D02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965</Words>
  <Characters>5504</Characters>
  <Application>Microsoft Macintosh Word</Application>
  <DocSecurity>0</DocSecurity>
  <Lines>45</Lines>
  <Paragraphs>12</Paragraphs>
  <ScaleCrop>false</ScaleCrop>
  <Company>Queen's University</Company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 Cressler</cp:lastModifiedBy>
  <cp:revision>4</cp:revision>
  <dcterms:created xsi:type="dcterms:W3CDTF">2016-04-08T20:16:00Z</dcterms:created>
  <dcterms:modified xsi:type="dcterms:W3CDTF">2016-04-08T22:36:00Z</dcterms:modified>
</cp:coreProperties>
</file>