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200" w:after="200" w:line="240" w:lineRule="auto"/>
        <w:ind w:left="0" w:leftChars="0" w:right="0" w:rightChars="0" w:firstLine="0" w:firstLineChars="0"/>
        <w:jc w:val="center"/>
        <w:textAlignment w:val="auto"/>
        <w:outlineLvl w:val="9"/>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Correlation Analysis of Stock Prices And Four Financial Indexes for Some Listed Companies of Mainland China</w:t>
      </w:r>
    </w:p>
    <w:p>
      <w:pPr>
        <w:keepNext w:val="0"/>
        <w:keepLines w:val="0"/>
        <w:pageBreakBefore w:val="0"/>
        <w:widowControl w:val="0"/>
        <w:kinsoku/>
        <w:wordWrap/>
        <w:overflowPunct/>
        <w:topLinePunct w:val="0"/>
        <w:autoSpaceDE/>
        <w:autoSpaceDN/>
        <w:bidi w:val="0"/>
        <w:adjustRightInd/>
        <w:snapToGrid/>
        <w:spacing w:after="80" w:line="240" w:lineRule="exact"/>
        <w:ind w:left="0" w:leftChars="0" w:right="0" w:rightChars="0" w:firstLine="0" w:firstLineChars="0"/>
        <w:jc w:val="center"/>
        <w:textAlignment w:val="auto"/>
        <w:outlineLvl w:val="9"/>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Encai Zhang,  Prof.Chen</w:t>
      </w:r>
    </w:p>
    <w:p>
      <w:pPr>
        <w:keepNext w:val="0"/>
        <w:keepLines w:val="0"/>
        <w:pageBreakBefore w:val="0"/>
        <w:widowControl w:val="0"/>
        <w:kinsoku/>
        <w:wordWrap/>
        <w:overflowPunct/>
        <w:topLinePunct w:val="0"/>
        <w:autoSpaceDE/>
        <w:autoSpaceDN/>
        <w:bidi w:val="0"/>
        <w:adjustRightInd/>
        <w:snapToGrid/>
        <w:spacing w:after="80" w:line="240" w:lineRule="exact"/>
        <w:ind w:left="0" w:leftChars="0" w:right="0" w:rightChars="0" w:firstLine="0" w:firstLineChars="0"/>
        <w:jc w:val="center"/>
        <w:textAlignment w:val="auto"/>
        <w:outlineLvl w:val="9"/>
        <w:rPr>
          <w:rFonts w:hint="default"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Yuan Ze University</w:t>
      </w: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 xml:space="preserve">Abstract. </w:t>
      </w:r>
    </w:p>
    <w:p>
      <w:pPr>
        <w:keepNext w:val="0"/>
        <w:keepLines w:val="0"/>
        <w:pageBreakBefore w:val="0"/>
        <w:widowControl w:val="0"/>
        <w:kinsoku/>
        <w:wordWrap/>
        <w:overflowPunct/>
        <w:topLinePunct w:val="0"/>
        <w:autoSpaceDE/>
        <w:autoSpaceDN/>
        <w:bidi w:val="0"/>
        <w:adjustRightInd/>
        <w:snapToGrid/>
        <w:spacing w:after="80" w:line="240" w:lineRule="exact"/>
        <w:ind w:left="0" w:leftChars="0" w:right="0" w:rightChars="0" w:firstLine="420" w:firstLineChars="200"/>
        <w:jc w:val="both"/>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Stock prices forecasting is vital for making informed investment decisions.This paper study on which financial index have a reasonably high correlation with stock price during the past thirteen years. The four financial index include revenue, net profit, the earning per share, the main business income per stock. The result shows in </w:t>
      </w:r>
      <w:bookmarkStart w:id="0" w:name="OLE_LINK5"/>
      <w:r>
        <w:rPr>
          <w:rFonts w:hint="default" w:ascii="Times New Roman" w:hAnsi="Times New Roman" w:cs="Times New Roman"/>
          <w:lang w:val="en-US" w:eastAsia="zh-CN"/>
        </w:rPr>
        <w:t>pharmaceutical industry,</w:t>
      </w:r>
      <w:bookmarkEnd w:id="0"/>
      <w:r>
        <w:rPr>
          <w:rFonts w:hint="default" w:ascii="Times New Roman" w:hAnsi="Times New Roman" w:cs="Times New Roman"/>
          <w:lang w:val="en-US" w:eastAsia="zh-CN"/>
        </w:rPr>
        <w:t xml:space="preserve"> stock prices have a relatively high correlation with these indexes, which provide a valuable reference to investors when they make a long-term investment decisions.</w:t>
      </w:r>
    </w:p>
    <w:p>
      <w:pPr>
        <w:keepNext w:val="0"/>
        <w:keepLines w:val="0"/>
        <w:pageBreakBefore w:val="0"/>
        <w:widowControl w:val="0"/>
        <w:kinsoku/>
        <w:wordWrap/>
        <w:overflowPunct/>
        <w:topLinePunct w:val="0"/>
        <w:autoSpaceDE/>
        <w:autoSpaceDN/>
        <w:bidi w:val="0"/>
        <w:adjustRightInd/>
        <w:snapToGrid/>
        <w:spacing w:after="80" w:line="240" w:lineRule="exact"/>
        <w:ind w:left="0" w:leftChars="0" w:right="0" w:rightChars="0" w:firstLine="0" w:firstLineChars="0"/>
        <w:jc w:val="both"/>
        <w:textAlignment w:val="auto"/>
        <w:outlineLvl w:val="9"/>
        <w:rPr>
          <w:rFonts w:hint="default" w:ascii="Times New Roman" w:hAnsi="Times New Roman" w:cs="Times New Roman"/>
          <w:lang w:val="en-US" w:eastAsia="zh-CN"/>
        </w:rPr>
      </w:pPr>
      <w:r>
        <w:rPr>
          <w:rFonts w:hint="eastAsia" w:ascii="Times New Roman" w:hAnsi="Times New Roman" w:cs="Times New Roman"/>
          <w:b/>
          <w:bCs/>
          <w:lang w:val="en-US" w:eastAsia="zh-CN"/>
        </w:rPr>
        <w:t>Keywords</w:t>
      </w:r>
      <w:r>
        <w:rPr>
          <w:rFonts w:hint="eastAsia" w:ascii="Times New Roman" w:hAnsi="Times New Roman" w:cs="Times New Roman"/>
          <w:lang w:val="en-US" w:eastAsia="zh-CN"/>
        </w:rPr>
        <w:t>: Stock prices, Correlation Analysis, Financial data</w:t>
      </w:r>
    </w:p>
    <w:p>
      <w:pPr>
        <w:rPr>
          <w:rFonts w:hint="default" w:ascii="Times New Roman" w:hAnsi="Times New Roman" w:cs="Times New Roman"/>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Introduction</w:t>
      </w:r>
    </w:p>
    <w:p>
      <w:pPr>
        <w:keepNext w:val="0"/>
        <w:keepLines w:val="0"/>
        <w:pageBreakBefore w:val="0"/>
        <w:widowControl w:val="0"/>
        <w:kinsoku/>
        <w:wordWrap/>
        <w:overflowPunct/>
        <w:topLinePunct w:val="0"/>
        <w:autoSpaceDE/>
        <w:autoSpaceDN/>
        <w:bidi w:val="0"/>
        <w:adjustRightInd/>
        <w:snapToGrid/>
        <w:spacing w:after="80" w:line="240" w:lineRule="exact"/>
        <w:ind w:left="0" w:leftChars="0" w:right="0" w:rightChars="0" w:firstLine="420" w:firstLineChars="200"/>
        <w:jc w:val="both"/>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Stock prices prediction is an important challenge in financial industry, however, most focus on financial time series prediction. Generally speaking , stock prices in short term have a large volatility which cause a high risk for investors and accuracy reduction in predication. There are much stock investment theories which can be categorized into value investing strategies, growth strategies and so on. This paper didn</w:t>
      </w:r>
      <w:r>
        <w:rPr>
          <w:rFonts w:hint="default" w:ascii="Times New Roman" w:hAnsi="Times New Roman" w:cs="Times New Roman"/>
          <w:lang w:val="en-US" w:eastAsia="zh-CN"/>
        </w:rPr>
        <w:t>’</w:t>
      </w:r>
      <w:r>
        <w:rPr>
          <w:rFonts w:hint="default" w:ascii="Times New Roman" w:hAnsi="Times New Roman" w:cs="Times New Roman"/>
          <w:lang w:val="en-US" w:eastAsia="zh-CN"/>
        </w:rPr>
        <w:t xml:space="preserve">t discuss which was much better or how to invest have a better performance but just made a correlation analysis between stock prices and financial performance in the past thirteen years for different listed companies. In the long term, we discovered the real quality of a listed company like competitiveness, earning stability, growth speed, etc..On the other hand, we also found some companies had little been affected by market volatility even in stock-market crash. This paper provided a quantitative view of stock market performance and earning data in the long term, which was believed to have a high reliance than some abstract value analysis.  </w:t>
      </w: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Data description</w:t>
      </w:r>
    </w:p>
    <w:p>
      <w:pPr>
        <w:keepNext w:val="0"/>
        <w:keepLines w:val="0"/>
        <w:pageBreakBefore w:val="0"/>
        <w:widowControl w:val="0"/>
        <w:kinsoku/>
        <w:wordWrap/>
        <w:overflowPunct/>
        <w:topLinePunct w:val="0"/>
        <w:autoSpaceDE/>
        <w:autoSpaceDN/>
        <w:bidi w:val="0"/>
        <w:adjustRightInd/>
        <w:snapToGrid/>
        <w:spacing w:after="80" w:line="240" w:lineRule="exact"/>
        <w:ind w:left="0" w:leftChars="0" w:right="0" w:rightChars="0" w:firstLine="420" w:firstLineChars="200"/>
        <w:jc w:val="both"/>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All data were collected and processed in python and some third-party libraries. The financial data we used were all collected from Sina financial and economics through a python library called TuShare, which is a free and open-sourced finance and economics python library. This library achieving data collection, data cleaning and data saving offered financial analysts easy-used financial data. This paper just used a part of profit data of every year like fig.1 shows. As we can see, the profit table includes ROE, Net margin, Gross margin, Net profit, The earning per share, Revenue, </w:t>
      </w:r>
      <w:bookmarkStart w:id="1" w:name="OLE_LINK3"/>
      <w:r>
        <w:rPr>
          <w:rFonts w:hint="default" w:ascii="Times New Roman" w:hAnsi="Times New Roman" w:cs="Times New Roman"/>
          <w:lang w:val="en-US" w:eastAsia="zh-CN"/>
        </w:rPr>
        <w:t>The revenue per share</w:t>
      </w:r>
      <w:bookmarkEnd w:id="1"/>
      <w:r>
        <w:rPr>
          <w:rFonts w:hint="default" w:ascii="Times New Roman" w:hAnsi="Times New Roman" w:cs="Times New Roman"/>
          <w:lang w:val="en-US" w:eastAsia="zh-CN"/>
        </w:rPr>
        <w:t xml:space="preserve"> of different company from 2004 to 2016. However, we just used </w:t>
      </w:r>
      <w:bookmarkStart w:id="2" w:name="OLE_LINK1"/>
      <w:r>
        <w:rPr>
          <w:rFonts w:hint="default" w:ascii="Times New Roman" w:hAnsi="Times New Roman" w:cs="Times New Roman"/>
          <w:lang w:val="en-US" w:eastAsia="zh-CN"/>
        </w:rPr>
        <w:t xml:space="preserve">Net profit, Revenue, The earning per share and The revenue per share </w:t>
      </w:r>
      <w:bookmarkEnd w:id="2"/>
      <w:r>
        <w:rPr>
          <w:rFonts w:hint="default" w:ascii="Times New Roman" w:hAnsi="Times New Roman" w:cs="Times New Roman"/>
          <w:lang w:val="en-US" w:eastAsia="zh-CN"/>
        </w:rPr>
        <w:t>for they were growing over time.</w:t>
      </w:r>
    </w:p>
    <w:p>
      <w:pPr>
        <w:rPr>
          <w:rFonts w:hint="default" w:ascii="Times New Roman" w:hAnsi="Times New Roman" w:cs="Times New Roman"/>
          <w:lang w:val="en-US" w:eastAsia="zh-CN"/>
        </w:rPr>
      </w:pP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5283200" cy="1728470"/>
            <wp:effectExtent l="0" t="0" r="12700" b="5080"/>
            <wp:docPr id="2" name="图片 2"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g1"/>
                    <pic:cNvPicPr>
                      <a:picLocks noChangeAspect="1"/>
                    </pic:cNvPicPr>
                  </pic:nvPicPr>
                  <pic:blipFill>
                    <a:blip r:embed="rId4"/>
                    <a:stretch>
                      <a:fillRect/>
                    </a:stretch>
                  </pic:blipFill>
                  <pic:spPr>
                    <a:xfrm>
                      <a:off x="0" y="0"/>
                      <a:ext cx="5283200" cy="1728470"/>
                    </a:xfrm>
                    <a:prstGeom prst="rect">
                      <a:avLst/>
                    </a:prstGeom>
                  </pic:spPr>
                </pic:pic>
              </a:graphicData>
            </a:graphic>
          </wp:inline>
        </w:drawing>
      </w:r>
      <w:r>
        <w:rPr>
          <w:rFonts w:hint="default" w:ascii="Times New Roman" w:hAnsi="Times New Roman" w:cs="Times New Roman"/>
          <w:sz w:val="18"/>
          <w:szCs w:val="18"/>
          <w:lang w:val="en-US" w:eastAsia="zh-CN"/>
        </w:rPr>
        <w:t xml:space="preserve"> Fig 1. A part of the profit data getting from the Sina financial and economics.</w:t>
      </w:r>
    </w:p>
    <w:p>
      <w:pPr>
        <w:rPr>
          <w:rFonts w:hint="default" w:ascii="Times New Roman" w:hAnsi="Times New Roman" w:cs="Times New Roman"/>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Data processing</w:t>
      </w:r>
    </w:p>
    <w:p>
      <w:pPr>
        <w:keepNext w:val="0"/>
        <w:keepLines w:val="0"/>
        <w:pageBreakBefore w:val="0"/>
        <w:widowControl w:val="0"/>
        <w:kinsoku/>
        <w:wordWrap/>
        <w:overflowPunct/>
        <w:topLinePunct w:val="0"/>
        <w:autoSpaceDE/>
        <w:autoSpaceDN/>
        <w:bidi w:val="0"/>
        <w:adjustRightInd/>
        <w:snapToGrid/>
        <w:spacing w:after="80" w:line="240" w:lineRule="exact"/>
        <w:ind w:left="0" w:leftChars="0" w:right="0" w:rightChars="0" w:firstLine="420" w:firstLineChars="200"/>
        <w:jc w:val="both"/>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All collecting data should be pre-processed before being analyzed because of some missing data, repeated data, false data. All steps of pre-processing are showed as follow figure.</w:t>
      </w:r>
    </w:p>
    <w:p>
      <w:pPr>
        <w:keepNext w:val="0"/>
        <w:keepLines w:val="0"/>
        <w:pageBreakBefore w:val="0"/>
        <w:widowControl w:val="0"/>
        <w:kinsoku/>
        <w:wordWrap/>
        <w:overflowPunct/>
        <w:topLinePunct w:val="0"/>
        <w:autoSpaceDE/>
        <w:autoSpaceDN/>
        <w:bidi w:val="0"/>
        <w:adjustRightInd/>
        <w:snapToGrid/>
        <w:spacing w:after="80" w:line="240" w:lineRule="exact"/>
        <w:ind w:left="0" w:leftChars="0" w:right="0" w:rightChars="0" w:firstLine="420" w:firstLineChars="200"/>
        <w:jc w:val="both"/>
        <w:textAlignment w:val="auto"/>
        <w:outlineLvl w:val="9"/>
        <w:rPr>
          <w:rFonts w:hint="default" w:ascii="Times New Roman" w:hAnsi="Times New Roman" w:cs="Times New Roman"/>
          <w:lang w:val="en-US" w:eastAsia="zh-CN"/>
        </w:rPr>
      </w:pPr>
    </w:p>
    <w:p>
      <w:pPr>
        <w:rPr>
          <w:rFonts w:hint="default" w:ascii="Times New Roman" w:hAnsi="Times New Roman" w:cs="Times New Roman"/>
          <w:lang w:val="en-US" w:eastAsia="zh-CN"/>
        </w:rPr>
      </w:pPr>
      <w:r>
        <w:rPr>
          <w:sz w:val="21"/>
        </w:rPr>
        <mc:AlternateContent>
          <mc:Choice Requires="wpg">
            <w:drawing>
              <wp:anchor distT="0" distB="0" distL="114300" distR="114300" simplePos="0" relativeHeight="251662336" behindDoc="0" locked="0" layoutInCell="1" allowOverlap="1">
                <wp:simplePos x="0" y="0"/>
                <wp:positionH relativeFrom="column">
                  <wp:posOffset>1227455</wp:posOffset>
                </wp:positionH>
                <wp:positionV relativeFrom="paragraph">
                  <wp:posOffset>34290</wp:posOffset>
                </wp:positionV>
                <wp:extent cx="2818765" cy="562610"/>
                <wp:effectExtent l="6350" t="6350" r="13335" b="21590"/>
                <wp:wrapNone/>
                <wp:docPr id="1" name="组合 1"/>
                <wp:cNvGraphicFramePr/>
                <a:graphic xmlns:a="http://schemas.openxmlformats.org/drawingml/2006/main">
                  <a:graphicData uri="http://schemas.microsoft.com/office/word/2010/wordprocessingGroup">
                    <wpg:wgp>
                      <wpg:cNvGrpSpPr/>
                      <wpg:grpSpPr>
                        <a:xfrm>
                          <a:off x="0" y="0"/>
                          <a:ext cx="2818765" cy="562610"/>
                          <a:chOff x="5744" y="20402"/>
                          <a:chExt cx="4439" cy="886"/>
                        </a:xfrm>
                      </wpg:grpSpPr>
                      <wps:wsp>
                        <wps:cNvPr id="3" name="圆角矩形 3"/>
                        <wps:cNvSpPr/>
                        <wps:spPr>
                          <a:xfrm>
                            <a:off x="5744" y="20402"/>
                            <a:ext cx="1412" cy="887"/>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 xml:space="preserve">Data cleaning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直接箭头连接符 4"/>
                        <wps:cNvCnPr>
                          <a:stCxn id="3" idx="3"/>
                        </wps:cNvCnPr>
                        <wps:spPr>
                          <a:xfrm>
                            <a:off x="7156" y="20846"/>
                            <a:ext cx="1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 name="圆角矩形 5"/>
                        <wps:cNvSpPr/>
                        <wps:spPr>
                          <a:xfrm>
                            <a:off x="8483" y="20406"/>
                            <a:ext cx="1700" cy="874"/>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Normalization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96.65pt;margin-top:2.7pt;height:44.3pt;width:221.95pt;z-index:251662336;mso-width-relative:page;mso-height-relative:page;" coordorigin="5744,20402" coordsize="4439,886" o:gfxdata="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">
                <o:lock v:ext="edit" aspectratio="f"/>
                <v:roundrect id="_x0000_s1026" o:spid="_x0000_s1026" o:spt="2" style="position:absolute;left:5744;top:20402;height:887;width:1412;v-text-anchor:middle;" fillcolor="#FFFFFF [3201]" filled="t" stroked="t" coordsize="21600,21600" arcsize="0.166666666666667" o:gfxdata="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&#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HyYgIvWAAAABwEAAA8AAAAAAAAAAQAgAAAAIgAAAGRy&#10;cy9kb3ducmV2LnhtbFBLAQIUABQAAAAIAIdO4kALvZZSeQIAAMcEAAAOAAAAAAAAAAEAIAAAACUB&#10;AABkcnMvZTJvRG9jLnhtbFBLBQYAAAAABgAGAFkBAAAQBg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 xml:space="preserve">Data cleaning </w:t>
                        </w:r>
                      </w:p>
                    </w:txbxContent>
                  </v:textbox>
                </v:roundrect>
                <v:shape id="_x0000_s1026" o:spid="_x0000_s1026" o:spt="32" type="#_x0000_t32" style="position:absolute;left:7156;top:20846;height:0;width:1275;" filled="f" stroked="t" coordsize="21600,21600" o:gfxdata="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7nIW81QAAAAkBAAAPAAAAAAAAAAEAIAAAACIAAABk&#10;cnMvZG93bnJldi54bWxQSwECFAAUAAAACACHTuJA4tXIqAkCAADBAwAADgAAAAAAAAABACAAAAAk&#10;AQAAZHJzL2Uyb0RvYy54bWxQSwUGAAAAAAYABgBZAQAAnwUAAAAA&#10;">
                  <v:fill on="f" focussize="0,0"/>
                  <v:stroke weight="0.5pt" color="#5B9BD5 [3204]" miterlimit="8" joinstyle="miter" endarrow="open"/>
                  <v:imagedata o:title=""/>
                  <o:lock v:ext="edit" aspectratio="f"/>
                </v:shape>
                <v:roundrect id="_x0000_s1026" o:spid="_x0000_s1026" o:spt="2" style="position:absolute;left:8483;top:20406;height:874;width:1700;v-text-anchor:middle;" fillcolor="#FFFFFF [3201]" filled="t" stroked="t" coordsize="21600,21600" arcsize="0.166666666666667" o:gfxdata="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Q2SI39YAAAAIAQAADwAAAAAAAAABACAAAAAiAAAAZHJzL2Rvd25yZXYu&#10;eG1sUEsBAhQAFAAAAAgAh07iQLDXlG9vAgAAvAQAAA4AAAAAAAAAAQAgAAAAJQEAAGRycy9lMm9E&#10;b2MueG1sUEsFBgAAAAAGAAYAWQEAAAYGA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Normalization</w:t>
                        </w:r>
                      </w:p>
                    </w:txbxContent>
                  </v:textbox>
                </v:roundrect>
              </v:group>
            </w:pict>
          </mc:Fallback>
        </mc:AlternateConten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jc w:val="center"/>
        <w:rPr>
          <w:rFonts w:hint="default" w:ascii="Times New Roman" w:hAnsi="Times New Roman" w:cs="Times New Roman"/>
          <w:lang w:val="en-US" w:eastAsia="zh-CN"/>
        </w:rPr>
      </w:pPr>
      <w:r>
        <w:rPr>
          <w:rFonts w:hint="default" w:ascii="Times New Roman" w:hAnsi="Times New Roman" w:cs="Times New Roman"/>
          <w:sz w:val="18"/>
          <w:szCs w:val="18"/>
          <w:lang w:val="en-US" w:eastAsia="zh-CN"/>
        </w:rPr>
        <w:t>Fig 2. The process of pre-processing</w:t>
      </w:r>
    </w:p>
    <w:p>
      <w:pPr>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after="80" w:line="240" w:lineRule="exact"/>
        <w:ind w:left="0" w:leftChars="0" w:right="0" w:rightChars="0" w:firstLine="420" w:firstLineChars="200"/>
        <w:jc w:val="both"/>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The first step was data cleaning in order to remove missing data, repeated data, false data and after that remaining companies count up to 636. The next step was normalization by features in order to compare them at the same scale. </w:t>
      </w:r>
    </w:p>
    <w:p>
      <w:pPr>
        <w:keepNext w:val="0"/>
        <w:keepLines w:val="0"/>
        <w:pageBreakBefore w:val="0"/>
        <w:widowControl w:val="0"/>
        <w:kinsoku/>
        <w:wordWrap/>
        <w:overflowPunct/>
        <w:topLinePunct w:val="0"/>
        <w:autoSpaceDE/>
        <w:autoSpaceDN/>
        <w:bidi w:val="0"/>
        <w:adjustRightInd/>
        <w:snapToGrid/>
        <w:spacing w:after="80" w:line="240" w:lineRule="exact"/>
        <w:ind w:left="0" w:leftChars="0" w:right="0" w:rightChars="0" w:firstLine="420" w:firstLineChars="200"/>
        <w:jc w:val="both"/>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After the above two steps, we needed to calculate the correlation coefficient between normalized prices and normalized features like Net profit, Revenue, The earning per share and The revenue per share. After normalization, we had to extracted the mean prices and the above four indexes of every year for every company. However,another processing had to be said was that prices would be adjusted for divide and dividends, so there were two kinds of comparing, one was split-adjusted share prices comparing with Net profit and Revenue because they were not affected by divide and dividends, the other one was no-adjusted share prices comparing with The earning per share and The revenue per share because they would be affected by divide and dividends.</w:t>
      </w:r>
    </w:p>
    <w:p>
      <w:pPr>
        <w:keepNext w:val="0"/>
        <w:keepLines w:val="0"/>
        <w:pageBreakBefore w:val="0"/>
        <w:widowControl w:val="0"/>
        <w:kinsoku/>
        <w:wordWrap/>
        <w:overflowPunct/>
        <w:topLinePunct w:val="0"/>
        <w:autoSpaceDE/>
        <w:autoSpaceDN/>
        <w:bidi w:val="0"/>
        <w:adjustRightInd/>
        <w:snapToGrid/>
        <w:spacing w:after="80" w:line="240" w:lineRule="exact"/>
        <w:ind w:left="0" w:leftChars="0" w:right="0" w:rightChars="0" w:firstLine="0" w:firstLineChars="0"/>
        <w:jc w:val="both"/>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The processed data are shown as follows.</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drawing>
          <wp:anchor distT="0" distB="0" distL="114300" distR="114300" simplePos="0" relativeHeight="251661312" behindDoc="0" locked="0" layoutInCell="1" allowOverlap="1">
            <wp:simplePos x="0" y="0"/>
            <wp:positionH relativeFrom="column">
              <wp:posOffset>0</wp:posOffset>
            </wp:positionH>
            <wp:positionV relativeFrom="paragraph">
              <wp:posOffset>111125</wp:posOffset>
            </wp:positionV>
            <wp:extent cx="5413375" cy="2007870"/>
            <wp:effectExtent l="0" t="0" r="15875" b="11430"/>
            <wp:wrapTopAndBottom/>
            <wp:docPr id="8" name="图片 8" descr="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ig2"/>
                    <pic:cNvPicPr>
                      <a:picLocks noChangeAspect="1"/>
                    </pic:cNvPicPr>
                  </pic:nvPicPr>
                  <pic:blipFill>
                    <a:blip r:embed="rId5"/>
                    <a:stretch>
                      <a:fillRect/>
                    </a:stretch>
                  </pic:blipFill>
                  <pic:spPr>
                    <a:xfrm>
                      <a:off x="0" y="0"/>
                      <a:ext cx="5413375" cy="2007870"/>
                    </a:xfrm>
                    <a:prstGeom prst="rect">
                      <a:avLst/>
                    </a:prstGeom>
                  </pic:spPr>
                </pic:pic>
              </a:graphicData>
            </a:graphic>
          </wp:anchor>
        </w:drawing>
      </w:r>
    </w:p>
    <w:p>
      <w:pPr>
        <w:jc w:val="both"/>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Fig</w:t>
      </w:r>
      <w:r>
        <w:rPr>
          <w:rFonts w:hint="eastAsia" w:ascii="Times New Roman" w:hAnsi="Times New Roman" w:cs="Times New Roman"/>
          <w:sz w:val="18"/>
          <w:szCs w:val="18"/>
          <w:lang w:val="en-US" w:eastAsia="zh-CN"/>
        </w:rPr>
        <w:t xml:space="preserve"> </w:t>
      </w:r>
      <w:r>
        <w:rPr>
          <w:rFonts w:hint="default" w:ascii="Times New Roman" w:hAnsi="Times New Roman" w:cs="Times New Roman"/>
          <w:sz w:val="18"/>
          <w:szCs w:val="18"/>
          <w:lang w:val="en-US" w:eastAsia="zh-CN"/>
        </w:rPr>
        <w:t xml:space="preserve">3. One example of the processed data, all have been normalized into between 0 and 1. The column called </w:t>
      </w:r>
      <w:r>
        <w:rPr>
          <w:rFonts w:hint="default" w:ascii="Times New Roman" w:hAnsi="Times New Roman" w:cs="Times New Roman"/>
          <w:sz w:val="18"/>
          <w:szCs w:val="18"/>
          <w:lang w:val="en-US" w:eastAsia="zh-CN"/>
        </w:rPr>
        <w:t>‘</w:t>
      </w:r>
      <w:r>
        <w:rPr>
          <w:rFonts w:hint="default" w:ascii="Times New Roman" w:hAnsi="Times New Roman" w:cs="Times New Roman"/>
          <w:sz w:val="18"/>
          <w:szCs w:val="18"/>
          <w:lang w:val="en-US" w:eastAsia="zh-CN"/>
        </w:rPr>
        <w:t>price</w:t>
      </w:r>
      <w:r>
        <w:rPr>
          <w:rFonts w:hint="default" w:ascii="Times New Roman" w:hAnsi="Times New Roman" w:cs="Times New Roman"/>
          <w:sz w:val="18"/>
          <w:szCs w:val="18"/>
          <w:lang w:val="en-US" w:eastAsia="zh-CN"/>
        </w:rPr>
        <w:t>’</w:t>
      </w:r>
      <w:r>
        <w:rPr>
          <w:rFonts w:hint="default" w:ascii="Times New Roman" w:hAnsi="Times New Roman" w:cs="Times New Roman"/>
          <w:sz w:val="18"/>
          <w:szCs w:val="18"/>
          <w:lang w:val="en-US" w:eastAsia="zh-CN"/>
        </w:rPr>
        <w:t xml:space="preserve"> is price adjusted for divide and dividends and </w:t>
      </w:r>
      <w:r>
        <w:rPr>
          <w:rFonts w:hint="default" w:ascii="Times New Roman" w:hAnsi="Times New Roman" w:cs="Times New Roman"/>
          <w:sz w:val="18"/>
          <w:szCs w:val="18"/>
          <w:lang w:val="en-US" w:eastAsia="zh-CN"/>
        </w:rPr>
        <w:t>‘</w:t>
      </w:r>
      <w:r>
        <w:rPr>
          <w:rFonts w:hint="default" w:ascii="Times New Roman" w:hAnsi="Times New Roman" w:cs="Times New Roman"/>
          <w:sz w:val="18"/>
          <w:szCs w:val="18"/>
          <w:lang w:val="en-US" w:eastAsia="zh-CN"/>
        </w:rPr>
        <w:t>priceNo</w:t>
      </w:r>
      <w:r>
        <w:rPr>
          <w:rFonts w:hint="default" w:ascii="Times New Roman" w:hAnsi="Times New Roman" w:cs="Times New Roman"/>
          <w:sz w:val="18"/>
          <w:szCs w:val="18"/>
          <w:lang w:val="en-US" w:eastAsia="zh-CN"/>
        </w:rPr>
        <w:t>’</w:t>
      </w:r>
      <w:r>
        <w:rPr>
          <w:rFonts w:hint="default" w:ascii="Times New Roman" w:hAnsi="Times New Roman" w:cs="Times New Roman"/>
          <w:sz w:val="18"/>
          <w:szCs w:val="18"/>
          <w:lang w:val="en-US" w:eastAsia="zh-CN"/>
        </w:rPr>
        <w:t xml:space="preserve"> is price not adjusted, the other are four financial indexes.</w:t>
      </w:r>
    </w:p>
    <w:p>
      <w:pPr>
        <w:rPr>
          <w:rFonts w:hint="default" w:ascii="Times New Roman" w:hAnsi="Times New Roman" w:cs="Times New Roman"/>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after="80" w:line="240" w:lineRule="exact"/>
        <w:ind w:left="0" w:leftChars="0" w:right="0" w:rightChars="0" w:firstLine="420" w:firstLineChars="200"/>
        <w:jc w:val="both"/>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Then we needed to calculate the </w:t>
      </w:r>
      <w:bookmarkStart w:id="3" w:name="OLE_LINK2"/>
      <w:r>
        <w:rPr>
          <w:rFonts w:hint="default" w:ascii="Times New Roman" w:hAnsi="Times New Roman" w:cs="Times New Roman"/>
          <w:lang w:val="en-US" w:eastAsia="zh-CN"/>
        </w:rPr>
        <w:t>correlation coefficient</w:t>
      </w:r>
      <w:bookmarkEnd w:id="3"/>
      <w:r>
        <w:rPr>
          <w:rFonts w:hint="default" w:ascii="Times New Roman" w:hAnsi="Times New Roman" w:cs="Times New Roman"/>
          <w:lang w:val="en-US" w:eastAsia="zh-CN"/>
        </w:rPr>
        <w:t>, which was a number that quantifies a type of</w:t>
      </w:r>
      <w:r>
        <w:rPr>
          <w:rFonts w:hint="default" w:ascii="Times New Roman" w:hAnsi="Times New Roman" w:cs="Times New Roman"/>
          <w:lang w:val="en-US" w:eastAsia="zh-CN"/>
        </w:rPr>
        <w:t>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"https://en.wikipedia.org/wiki/Correlation_and_dependence" \o "Correlation and dependence"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correlation and dependence</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 meaning statistical relationships between two or more values in fundamental statistics</w:t>
      </w:r>
      <w:r>
        <w:rPr>
          <w:rFonts w:hint="default" w:ascii="Times New Roman" w:hAnsi="Times New Roman" w:cs="Times New Roman"/>
          <w:lang w:val="en-US" w:eastAsia="zh-CN"/>
        </w:rPr>
        <w:t>. </w:t>
      </w:r>
      <w:r>
        <w:rPr>
          <w:rFonts w:hint="default" w:ascii="Times New Roman" w:hAnsi="Times New Roman" w:cs="Times New Roman"/>
          <w:lang w:val="en-US" w:eastAsia="zh-CN"/>
        </w:rPr>
        <w:t>A high value (approaching +1.00) is a strong direct relationship, a low negative value (approaching -1.00) is a strong inverse relationship, and values near 0.00 indicate little, if any, relationship.</w:t>
      </w:r>
      <w:r>
        <w:rPr>
          <w:rFonts w:hint="default" w:ascii="Times New Roman" w:hAnsi="Times New Roman" w:cs="Times New Roman"/>
          <w:lang w:val="en-US" w:eastAsia="zh-CN"/>
        </w:rPr>
        <w:t xml:space="preserve"> The formula can be shown as follows.</w:t>
      </w:r>
    </w:p>
    <w:p>
      <w:pPr>
        <w:rPr>
          <w:rFonts w:hint="default" w:ascii="Times New Roman" w:hAnsi="Times New Roman" w:cs="Times New Roman"/>
          <w:lang w:val="en-US" w:eastAsia="zh-CN"/>
        </w:rPr>
      </w:pPr>
    </w:p>
    <w:p>
      <w:pPr>
        <w:ind w:firstLine="420" w:firstLineChars="0"/>
        <w:jc w:val="center"/>
        <w:rPr>
          <w:rFonts w:hint="default" w:ascii="Times New Roman" w:hAnsi="Times New Roman" w:cs="Times New Roman"/>
          <w:sz w:val="18"/>
          <w:szCs w:val="21"/>
          <w:lang w:val="en-US" w:eastAsia="zh-CN"/>
        </w:rPr>
      </w:pPr>
      <w:r>
        <w:rPr>
          <w:rFonts w:hint="eastAsia" w:ascii="Times New Roman" w:hAnsi="Times New Roman" w:cs="Times New Roman"/>
          <w:position w:val="-36"/>
          <w:sz w:val="18"/>
          <w:szCs w:val="21"/>
          <w:lang w:val="en-US" w:eastAsia="zh-CN"/>
        </w:rPr>
        <w:t xml:space="preserve">                       </w:t>
      </w:r>
      <w:r>
        <w:rPr>
          <w:rFonts w:hint="default" w:ascii="Times New Roman" w:hAnsi="Times New Roman" w:cs="Times New Roman"/>
          <w:position w:val="-36"/>
          <w:sz w:val="18"/>
          <w:szCs w:val="21"/>
          <w:lang w:val="en-US" w:eastAsia="zh-CN"/>
        </w:rPr>
        <w:object>
          <v:shape id="_x0000_i1026" o:spt="75" alt="" type="#_x0000_t75" style="height:33.45pt;width:76.7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5" r:id="rId6">
            <o:LockedField>false</o:LockedField>
          </o:OLEObject>
        </w:object>
      </w:r>
      <w:r>
        <w:rPr>
          <w:rFonts w:hint="default" w:ascii="Times New Roman" w:hAnsi="Times New Roman" w:cs="Times New Roman"/>
          <w:sz w:val="18"/>
          <w:szCs w:val="21"/>
          <w:lang w:val="en-US" w:eastAsia="zh-CN"/>
        </w:rPr>
        <w:t xml:space="preserve"> </w:t>
      </w:r>
      <w:r>
        <w:rPr>
          <w:rFonts w:hint="eastAsia" w:ascii="Times New Roman" w:hAnsi="Times New Roman" w:cs="Times New Roman"/>
          <w:sz w:val="18"/>
          <w:szCs w:val="21"/>
          <w:lang w:val="en-US" w:eastAsia="zh-CN"/>
        </w:rPr>
        <w:t xml:space="preserve">                   </w:t>
      </w:r>
      <w:r>
        <w:rPr>
          <w:rFonts w:hint="default" w:ascii="Times New Roman" w:hAnsi="Times New Roman" w:cs="Times New Roman"/>
          <w:sz w:val="18"/>
          <w:szCs w:val="21"/>
          <w:lang w:val="en-US" w:eastAsia="zh-CN"/>
        </w:rPr>
        <w:t xml:space="preserve">  </w:t>
      </w:r>
      <w:r>
        <w:rPr>
          <w:rFonts w:hint="eastAsia" w:ascii="Times New Roman" w:hAnsi="Times New Roman" w:cs="Times New Roman"/>
          <w:sz w:val="18"/>
          <w:szCs w:val="21"/>
          <w:lang w:val="en-US" w:eastAsia="zh-CN"/>
        </w:rPr>
        <w:t xml:space="preserve">           </w:t>
      </w:r>
      <w:r>
        <w:rPr>
          <w:rFonts w:hint="default" w:ascii="Times New Roman" w:hAnsi="Times New Roman" w:cs="Times New Roman"/>
          <w:sz w:val="18"/>
          <w:szCs w:val="21"/>
          <w:lang w:val="en-US" w:eastAsia="zh-CN"/>
        </w:rPr>
        <w:t>(1)</w:t>
      </w:r>
    </w:p>
    <w:p>
      <w:pPr>
        <w:ind w:firstLine="420" w:firstLineChars="0"/>
        <w:jc w:val="center"/>
        <w:rPr>
          <w:rFonts w:hint="default" w:ascii="Times New Roman" w:hAnsi="Times New Roman" w:cs="Times New Roman"/>
          <w:sz w:val="18"/>
          <w:szCs w:val="21"/>
          <w:lang w:val="en-US" w:eastAsia="zh-CN"/>
        </w:rPr>
      </w:pPr>
    </w:p>
    <w:p>
      <w:pPr>
        <w:keepNext w:val="0"/>
        <w:keepLines w:val="0"/>
        <w:pageBreakBefore w:val="0"/>
        <w:widowControl w:val="0"/>
        <w:kinsoku/>
        <w:wordWrap/>
        <w:overflowPunct/>
        <w:topLinePunct w:val="0"/>
        <w:autoSpaceDE/>
        <w:autoSpaceDN/>
        <w:bidi w:val="0"/>
        <w:adjustRightInd/>
        <w:snapToGrid/>
        <w:spacing w:after="80" w:line="240" w:lineRule="exact"/>
        <w:ind w:left="0" w:leftChars="0" w:right="0" w:rightChars="0" w:firstLine="420" w:firstLineChars="200"/>
        <w:jc w:val="both"/>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We</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 xml:space="preserve">calculated the correlation coefficient between column </w:t>
      </w:r>
      <w:r>
        <w:rPr>
          <w:rFonts w:hint="default" w:ascii="Times New Roman" w:hAnsi="Times New Roman" w:cs="Times New Roman"/>
          <w:lang w:val="en-US" w:eastAsia="zh-CN"/>
        </w:rPr>
        <w:t>‘</w:t>
      </w:r>
      <w:r>
        <w:rPr>
          <w:rFonts w:hint="default" w:ascii="Times New Roman" w:hAnsi="Times New Roman" w:cs="Times New Roman"/>
          <w:lang w:val="en-US" w:eastAsia="zh-CN"/>
        </w:rPr>
        <w:t>price</w:t>
      </w:r>
      <w:r>
        <w:rPr>
          <w:rFonts w:hint="default" w:ascii="Times New Roman" w:hAnsi="Times New Roman" w:cs="Times New Roman"/>
          <w:lang w:val="en-US" w:eastAsia="zh-CN"/>
        </w:rPr>
        <w:t>’</w:t>
      </w:r>
      <w:r>
        <w:rPr>
          <w:rFonts w:hint="default" w:ascii="Times New Roman" w:hAnsi="Times New Roman" w:cs="Times New Roman"/>
          <w:lang w:val="en-US" w:eastAsia="zh-CN"/>
        </w:rPr>
        <w:t xml:space="preserve"> and column </w:t>
      </w:r>
      <w:r>
        <w:rPr>
          <w:rFonts w:hint="default" w:ascii="Times New Roman" w:hAnsi="Times New Roman" w:cs="Times New Roman"/>
          <w:lang w:val="en-US" w:eastAsia="zh-CN"/>
        </w:rPr>
        <w:t>‘</w:t>
      </w:r>
      <w:r>
        <w:rPr>
          <w:rFonts w:hint="default" w:ascii="Times New Roman" w:hAnsi="Times New Roman" w:cs="Times New Roman"/>
          <w:lang w:val="en-US" w:eastAsia="zh-CN"/>
        </w:rPr>
        <w:t>busincome</w:t>
      </w:r>
      <w:r>
        <w:rPr>
          <w:rFonts w:hint="default" w:ascii="Times New Roman" w:hAnsi="Times New Roman" w:cs="Times New Roman"/>
          <w:lang w:val="en-US" w:eastAsia="zh-CN"/>
        </w:rPr>
        <w:t>’</w:t>
      </w: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w:t>
      </w:r>
      <w:r>
        <w:rPr>
          <w:rFonts w:hint="default" w:ascii="Times New Roman" w:hAnsi="Times New Roman" w:cs="Times New Roman"/>
          <w:lang w:val="en-US" w:eastAsia="zh-CN"/>
        </w:rPr>
        <w:t>netprofit</w:t>
      </w:r>
      <w:r>
        <w:rPr>
          <w:rFonts w:hint="default" w:ascii="Times New Roman" w:hAnsi="Times New Roman" w:cs="Times New Roman"/>
          <w:lang w:val="en-US" w:eastAsia="zh-CN"/>
        </w:rPr>
        <w:t>’</w:t>
      </w:r>
      <w:r>
        <w:rPr>
          <w:rFonts w:hint="default" w:ascii="Times New Roman" w:hAnsi="Times New Roman" w:cs="Times New Roman"/>
          <w:lang w:val="en-US" w:eastAsia="zh-CN"/>
        </w:rPr>
        <w:t xml:space="preserve"> respectively and between column </w:t>
      </w:r>
      <w:r>
        <w:rPr>
          <w:rFonts w:hint="default" w:ascii="Times New Roman" w:hAnsi="Times New Roman" w:cs="Times New Roman"/>
          <w:lang w:val="en-US" w:eastAsia="zh-CN"/>
        </w:rPr>
        <w:t>‘</w:t>
      </w:r>
      <w:r>
        <w:rPr>
          <w:rFonts w:hint="default" w:ascii="Times New Roman" w:hAnsi="Times New Roman" w:cs="Times New Roman"/>
          <w:lang w:val="en-US" w:eastAsia="zh-CN"/>
        </w:rPr>
        <w:t>priceNo</w:t>
      </w:r>
      <w:r>
        <w:rPr>
          <w:rFonts w:hint="default" w:ascii="Times New Roman" w:hAnsi="Times New Roman" w:cs="Times New Roman"/>
          <w:lang w:val="en-US" w:eastAsia="zh-CN"/>
        </w:rPr>
        <w:t>’</w:t>
      </w:r>
      <w:r>
        <w:rPr>
          <w:rFonts w:hint="default" w:ascii="Times New Roman" w:hAnsi="Times New Roman" w:cs="Times New Roman"/>
          <w:lang w:val="en-US" w:eastAsia="zh-CN"/>
        </w:rPr>
        <w:t xml:space="preserve"> and column </w:t>
      </w:r>
      <w:r>
        <w:rPr>
          <w:rFonts w:hint="default" w:ascii="Times New Roman" w:hAnsi="Times New Roman" w:cs="Times New Roman"/>
          <w:lang w:val="en-US" w:eastAsia="zh-CN"/>
        </w:rPr>
        <w:t>‘</w:t>
      </w:r>
      <w:r>
        <w:rPr>
          <w:rFonts w:hint="default" w:ascii="Times New Roman" w:hAnsi="Times New Roman" w:cs="Times New Roman"/>
          <w:lang w:val="en-US" w:eastAsia="zh-CN"/>
        </w:rPr>
        <w:t>eps</w:t>
      </w:r>
      <w:r>
        <w:rPr>
          <w:rFonts w:hint="default" w:ascii="Times New Roman" w:hAnsi="Times New Roman" w:cs="Times New Roman"/>
          <w:lang w:val="en-US" w:eastAsia="zh-CN"/>
        </w:rPr>
        <w:t>’</w:t>
      </w:r>
      <w:r>
        <w:rPr>
          <w:rFonts w:hint="default" w:ascii="Times New Roman" w:hAnsi="Times New Roman" w:cs="Times New Roman"/>
          <w:lang w:val="en-US" w:eastAsia="zh-CN"/>
        </w:rPr>
        <w:t xml:space="preserve"> ,column </w:t>
      </w:r>
      <w:r>
        <w:rPr>
          <w:rFonts w:hint="default" w:ascii="Times New Roman" w:hAnsi="Times New Roman" w:cs="Times New Roman"/>
          <w:lang w:val="en-US" w:eastAsia="zh-CN"/>
        </w:rPr>
        <w:t>‘</w:t>
      </w:r>
      <w:r>
        <w:rPr>
          <w:rFonts w:hint="default" w:ascii="Times New Roman" w:hAnsi="Times New Roman" w:cs="Times New Roman"/>
          <w:lang w:val="en-US" w:eastAsia="zh-CN"/>
        </w:rPr>
        <w:t>bips</w:t>
      </w:r>
      <w:r>
        <w:rPr>
          <w:rFonts w:hint="default" w:ascii="Times New Roman" w:hAnsi="Times New Roman" w:cs="Times New Roman"/>
          <w:lang w:val="en-US" w:eastAsia="zh-CN"/>
        </w:rPr>
        <w:t>’</w:t>
      </w:r>
      <w:r>
        <w:rPr>
          <w:rFonts w:hint="default" w:ascii="Times New Roman" w:hAnsi="Times New Roman" w:cs="Times New Roman"/>
          <w:lang w:val="en-US" w:eastAsia="zh-CN"/>
        </w:rPr>
        <w:t xml:space="preserve"> respectively. The results are shown in the next part.</w:t>
      </w: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Results</w:t>
      </w:r>
    </w:p>
    <w:p>
      <w:pPr>
        <w:keepNext w:val="0"/>
        <w:keepLines w:val="0"/>
        <w:pageBreakBefore w:val="0"/>
        <w:widowControl w:val="0"/>
        <w:kinsoku/>
        <w:wordWrap/>
        <w:overflowPunct/>
        <w:topLinePunct w:val="0"/>
        <w:autoSpaceDE/>
        <w:autoSpaceDN/>
        <w:bidi w:val="0"/>
        <w:adjustRightInd/>
        <w:snapToGrid/>
        <w:spacing w:after="80" w:line="240" w:lineRule="exact"/>
        <w:ind w:left="0" w:leftChars="0" w:right="0" w:rightChars="0" w:firstLine="420" w:firstLineChars="200"/>
        <w:jc w:val="both"/>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The final results can be shown as follows. Fig .4 Shows the top 25 industries of whose correlation coefficient between business income and no-adjusted share prices are larger than 0.7. Fig .5 Shows the top 25 industries of whose correlation coefficient between net profit and no-adjusted share prices are larger than 0.7. Fig.6 shows the top 25 industries of whose correlation coefficient between the earning per share and split-adjusted share prices are larger than 0.7. Fig .7 Shows the top 25 industries of whose correlation coefficient between the revenue per share and split-adjusted share prices are larger than 0.</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5435600" cy="2394585"/>
            <wp:effectExtent l="4445" t="4445" r="8255" b="20320"/>
            <wp:docPr id="10"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Fig 4. Top 25 industries of whose correlation coefficient between business income and no-adjusted share prices are larger than 0.7 .</w:t>
      </w:r>
    </w:p>
    <w:p>
      <w:pPr>
        <w:jc w:val="center"/>
        <w:rPr>
          <w:rFonts w:hint="default" w:ascii="Times New Roman" w:hAnsi="Times New Roman" w:cs="Times New Roman"/>
          <w:sz w:val="18"/>
          <w:szCs w:val="18"/>
          <w:lang w:val="en-US" w:eastAsia="zh-CN"/>
        </w:rPr>
      </w:pPr>
      <w:r>
        <w:rPr>
          <w:rFonts w:hint="default" w:ascii="Times New Roman" w:hAnsi="Times New Roman" w:cs="Times New Roman"/>
        </w:rPr>
        <w:drawing>
          <wp:inline distT="0" distB="0" distL="114300" distR="114300">
            <wp:extent cx="5445125" cy="2402840"/>
            <wp:effectExtent l="4445" t="4445" r="17780" b="12065"/>
            <wp:docPr id="1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Start w:id="4" w:name="OLE_LINK4"/>
      <w:r>
        <w:rPr>
          <w:rFonts w:hint="default" w:ascii="Times New Roman" w:hAnsi="Times New Roman" w:cs="Times New Roman"/>
          <w:sz w:val="18"/>
          <w:szCs w:val="18"/>
          <w:lang w:val="en-US" w:eastAsia="zh-CN"/>
        </w:rPr>
        <w:t xml:space="preserve">Fig </w:t>
      </w:r>
      <w:r>
        <w:rPr>
          <w:rFonts w:hint="eastAsia" w:ascii="Times New Roman" w:hAnsi="Times New Roman" w:cs="Times New Roman"/>
          <w:sz w:val="18"/>
          <w:szCs w:val="18"/>
          <w:lang w:val="en-US" w:eastAsia="zh-CN"/>
        </w:rPr>
        <w:t>5</w:t>
      </w:r>
      <w:r>
        <w:rPr>
          <w:rFonts w:hint="default" w:ascii="Times New Roman" w:hAnsi="Times New Roman" w:cs="Times New Roman"/>
          <w:sz w:val="18"/>
          <w:szCs w:val="18"/>
          <w:lang w:val="en-US" w:eastAsia="zh-CN"/>
        </w:rPr>
        <w:t>. Top 25 industries of whose correlation coefficient between net profit and no-adjusted share pric</w:t>
      </w:r>
      <w:r>
        <w:rPr>
          <w:rFonts w:hint="default" w:ascii="Times New Roman" w:hAnsi="Times New Roman" w:cs="Times New Roman"/>
          <w:lang w:val="en-US" w:eastAsia="zh-CN"/>
        </w:rPr>
        <w:t>es</w:t>
      </w:r>
      <w:r>
        <w:rPr>
          <w:rFonts w:hint="default" w:ascii="Times New Roman" w:hAnsi="Times New Roman" w:cs="Times New Roman"/>
          <w:sz w:val="18"/>
          <w:szCs w:val="18"/>
          <w:lang w:val="en-US" w:eastAsia="zh-CN"/>
        </w:rPr>
        <w:t xml:space="preserve"> are larger than 0.7</w:t>
      </w:r>
      <w:bookmarkEnd w:id="4"/>
      <w:r>
        <w:rPr>
          <w:rFonts w:hint="default" w:ascii="Times New Roman" w:hAnsi="Times New Roman" w:cs="Times New Roman"/>
          <w:sz w:val="18"/>
          <w:szCs w:val="18"/>
          <w:lang w:val="en-US" w:eastAsia="zh-CN"/>
        </w:rPr>
        <w:t>.</w:t>
      </w:r>
    </w:p>
    <w:p>
      <w:pPr>
        <w:rPr>
          <w:rFonts w:hint="default" w:ascii="Times New Roman" w:hAnsi="Times New Roman" w:cs="Times New Roman"/>
          <w:sz w:val="18"/>
          <w:szCs w:val="18"/>
          <w:lang w:val="en-US" w:eastAsia="zh-CN"/>
        </w:rPr>
      </w:pPr>
    </w:p>
    <w:p>
      <w:pPr>
        <w:rPr>
          <w:rFonts w:hint="default" w:ascii="Times New Roman" w:hAnsi="Times New Roman" w:cs="Times New Roman"/>
        </w:rPr>
      </w:pPr>
      <w:r>
        <w:rPr>
          <w:rFonts w:hint="default" w:ascii="Times New Roman" w:hAnsi="Times New Roman" w:cs="Times New Roman"/>
        </w:rPr>
        <w:drawing>
          <wp:inline distT="0" distB="0" distL="114300" distR="114300">
            <wp:extent cx="5278755" cy="2370455"/>
            <wp:effectExtent l="4445" t="4445" r="12700" b="6350"/>
            <wp:docPr id="1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xml:space="preserve">Fig </w:t>
      </w:r>
      <w:r>
        <w:rPr>
          <w:rFonts w:hint="eastAsia" w:ascii="Times New Roman" w:hAnsi="Times New Roman" w:cs="Times New Roman"/>
          <w:sz w:val="18"/>
          <w:szCs w:val="18"/>
          <w:lang w:val="en-US" w:eastAsia="zh-CN"/>
        </w:rPr>
        <w:t>6</w:t>
      </w:r>
      <w:r>
        <w:rPr>
          <w:rFonts w:hint="default" w:ascii="Times New Roman" w:hAnsi="Times New Roman" w:cs="Times New Roman"/>
          <w:sz w:val="18"/>
          <w:szCs w:val="18"/>
          <w:lang w:val="en-US" w:eastAsia="zh-CN"/>
        </w:rPr>
        <w:t>. Top 25 industries of whose correlation coefficient between the earning per share and split-adjusted share prices are larger than 0.7.</w:t>
      </w:r>
    </w:p>
    <w:p>
      <w:pPr>
        <w:rPr>
          <w:rFonts w:hint="default" w:ascii="Times New Roman" w:hAnsi="Times New Roman" w:cs="Times New Roman"/>
          <w:sz w:val="18"/>
          <w:szCs w:val="18"/>
          <w:lang w:val="en-US" w:eastAsia="zh-CN"/>
        </w:rPr>
      </w:pPr>
    </w:p>
    <w:p>
      <w:pPr>
        <w:rPr>
          <w:rFonts w:hint="default" w:ascii="Times New Roman" w:hAnsi="Times New Roman" w:cs="Times New Roman"/>
          <w:sz w:val="18"/>
          <w:szCs w:val="18"/>
          <w:lang w:val="en-US" w:eastAsia="zh-CN"/>
        </w:rPr>
      </w:pPr>
      <w:r>
        <w:rPr>
          <w:rFonts w:hint="default" w:ascii="Times New Roman" w:hAnsi="Times New Roman" w:cs="Times New Roman"/>
        </w:rPr>
        <w:drawing>
          <wp:inline distT="0" distB="0" distL="114300" distR="114300">
            <wp:extent cx="5238115" cy="2212340"/>
            <wp:effectExtent l="4445" t="4445" r="15240" b="12065"/>
            <wp:docPr id="15"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 xml:space="preserve">Fig </w:t>
      </w:r>
      <w:r>
        <w:rPr>
          <w:rFonts w:hint="eastAsia" w:ascii="Times New Roman" w:hAnsi="Times New Roman" w:cs="Times New Roman"/>
          <w:sz w:val="18"/>
          <w:szCs w:val="18"/>
          <w:lang w:val="en-US" w:eastAsia="zh-CN"/>
        </w:rPr>
        <w:t>7.</w:t>
      </w:r>
      <w:r>
        <w:rPr>
          <w:rFonts w:hint="default" w:ascii="Times New Roman" w:hAnsi="Times New Roman" w:cs="Times New Roman"/>
          <w:sz w:val="18"/>
          <w:szCs w:val="18"/>
          <w:lang w:val="en-US" w:eastAsia="zh-CN"/>
        </w:rPr>
        <w:t xml:space="preserve"> Top 25 industries of whose correlation coefficient between the revenue per share and split-adjusted share prices are larger than 0.7.</w:t>
      </w:r>
    </w:p>
    <w:p>
      <w:pPr>
        <w:rPr>
          <w:rFonts w:hint="default" w:ascii="Times New Roman" w:hAnsi="Times New Roman" w:cs="Times New Roman"/>
          <w:sz w:val="18"/>
          <w:szCs w:val="18"/>
          <w:lang w:val="en-US" w:eastAsia="zh-CN"/>
        </w:rPr>
      </w:pPr>
    </w:p>
    <w:p>
      <w:pPr>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Conclusion</w:t>
      </w:r>
    </w:p>
    <w:p>
      <w:pPr>
        <w:keepNext w:val="0"/>
        <w:keepLines w:val="0"/>
        <w:pageBreakBefore w:val="0"/>
        <w:widowControl w:val="0"/>
        <w:kinsoku/>
        <w:wordWrap/>
        <w:overflowPunct/>
        <w:topLinePunct w:val="0"/>
        <w:autoSpaceDE/>
        <w:autoSpaceDN/>
        <w:bidi w:val="0"/>
        <w:adjustRightInd/>
        <w:snapToGrid/>
        <w:spacing w:after="80" w:line="240" w:lineRule="exact"/>
        <w:ind w:left="0" w:leftChars="0" w:right="0" w:rightChars="0" w:firstLine="420" w:firstLineChars="200"/>
        <w:jc w:val="both"/>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From the result last part, we found that there was a high correlation coefficient in </w:t>
      </w:r>
      <w:r>
        <w:rPr>
          <w:rFonts w:hint="default" w:ascii="Times New Roman" w:hAnsi="Times New Roman" w:cs="Times New Roman"/>
          <w:lang w:val="en-US" w:eastAsia="zh-CN"/>
        </w:rPr>
        <w:t>pharmaceutical industry in these four indexes, which means that the stock prices were much decided by the financial performance than other industries. After that, in the automobile</w:t>
      </w:r>
      <w:r>
        <w:rPr>
          <w:rFonts w:hint="default" w:ascii="Times New Roman" w:hAnsi="Times New Roman" w:cs="Times New Roman"/>
          <w:lang w:val="en-US" w:eastAsia="zh-CN"/>
        </w:rPr>
        <w:t> manufacturing</w:t>
      </w:r>
      <w:r>
        <w:rPr>
          <w:rFonts w:hint="default" w:ascii="Times New Roman" w:hAnsi="Times New Roman" w:cs="Times New Roman"/>
          <w:lang w:val="en-US" w:eastAsia="zh-CN"/>
        </w:rPr>
        <w:t xml:space="preserve"> industry and </w:t>
      </w:r>
      <w:r>
        <w:rPr>
          <w:rFonts w:hint="default" w:ascii="Times New Roman" w:hAnsi="Times New Roman" w:cs="Times New Roman"/>
          <w:lang w:val="en-US" w:eastAsia="zh-CN"/>
        </w:rPr>
        <w:t>the brewing industry</w:t>
      </w:r>
      <w:r>
        <w:rPr>
          <w:rFonts w:hint="default" w:ascii="Times New Roman" w:hAnsi="Times New Roman" w:cs="Times New Roman"/>
          <w:lang w:val="en-US" w:eastAsia="zh-CN"/>
        </w:rPr>
        <w:t>, there are also relatively high correlation coefficient which indicated that in these industries stock prices were also stable and not affected by market sentiment easily.</w:t>
      </w:r>
    </w:p>
    <w:p>
      <w:pPr>
        <w:rPr>
          <w:rFonts w:hint="default" w:ascii="Times New Roman" w:hAnsi="Times New Roman" w:cs="Times New Roman"/>
          <w:sz w:val="18"/>
          <w:szCs w:val="18"/>
          <w:lang w:val="en-US" w:eastAsia="zh-CN"/>
        </w:rPr>
      </w:pPr>
    </w:p>
    <w:p>
      <w:pPr>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Reference</w:t>
      </w:r>
    </w:p>
    <w:p>
      <w:pPr>
        <w:rPr>
          <w:rFonts w:hint="default" w:ascii="Times New Roman" w:hAnsi="Times New Roman" w:cs="Times New Roman"/>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after="80" w:line="240" w:lineRule="exact"/>
        <w:ind w:left="0" w:leftChars="0" w:right="0" w:rightChars="0" w:firstLine="0" w:firstLineChars="0"/>
        <w:jc w:val="both"/>
        <w:textAlignment w:val="auto"/>
        <w:outlineLvl w:val="9"/>
        <w:rPr>
          <w:rFonts w:hint="default" w:ascii="Times New Roman" w:hAnsi="Times New Roman" w:eastAsia="SimSun" w:cs="Times New Roman"/>
          <w:sz w:val="20"/>
          <w:szCs w:val="20"/>
        </w:rPr>
      </w:pPr>
      <w:r>
        <w:rPr>
          <w:rStyle w:val="5"/>
          <w:rFonts w:hint="default" w:ascii="Times New Roman" w:hAnsi="Times New Roman" w:eastAsia="SimSun" w:cs="Times New Roman"/>
          <w:sz w:val="20"/>
          <w:szCs w:val="20"/>
        </w:rPr>
        <w:t>[1] Abraham, A., Nath, B. &amp; Mahanti, P. K. (2001), Hybrid intelligent systems for stock market</w:t>
      </w:r>
      <w:r>
        <w:rPr>
          <w:rStyle w:val="5"/>
          <w:rFonts w:hint="default" w:ascii="Times New Roman" w:hAnsi="Times New Roman" w:eastAsia="SimSun" w:cs="Times New Roman"/>
          <w:sz w:val="20"/>
          <w:szCs w:val="20"/>
          <w:lang w:val="en-US" w:eastAsia="zh-CN"/>
        </w:rPr>
        <w:t xml:space="preserve"> </w:t>
      </w:r>
      <w:r>
        <w:rPr>
          <w:rStyle w:val="5"/>
          <w:rFonts w:hint="default" w:ascii="Times New Roman" w:hAnsi="Times New Roman" w:eastAsia="SimSun" w:cs="Times New Roman"/>
          <w:sz w:val="20"/>
          <w:szCs w:val="20"/>
        </w:rPr>
        <w:t xml:space="preserve">analysis, </w:t>
      </w:r>
      <w:r>
        <w:rPr>
          <w:rStyle w:val="6"/>
          <w:rFonts w:hint="default" w:ascii="Times New Roman" w:hAnsi="Times New Roman" w:eastAsia="SimSun" w:cs="Times New Roman"/>
          <w:sz w:val="20"/>
          <w:szCs w:val="20"/>
        </w:rPr>
        <w:t xml:space="preserve">in </w:t>
      </w:r>
      <w:r>
        <w:rPr>
          <w:rStyle w:val="5"/>
          <w:rFonts w:hint="default" w:ascii="Times New Roman" w:hAnsi="Times New Roman" w:eastAsia="SimSun" w:cs="Times New Roman"/>
          <w:sz w:val="20"/>
          <w:szCs w:val="20"/>
        </w:rPr>
        <w:t>‘Proceedings of the International Conference on Computational Science-Part II’,</w:t>
      </w:r>
      <w:r>
        <w:rPr>
          <w:rStyle w:val="5"/>
          <w:rFonts w:hint="default" w:ascii="Times New Roman" w:hAnsi="Times New Roman" w:eastAsia="SimSun" w:cs="Times New Roman"/>
          <w:sz w:val="20"/>
          <w:szCs w:val="20"/>
          <w:lang w:val="en-US" w:eastAsia="zh-CN"/>
        </w:rPr>
        <w:t xml:space="preserve"> </w:t>
      </w:r>
      <w:r>
        <w:rPr>
          <w:rStyle w:val="5"/>
          <w:rFonts w:hint="default" w:ascii="Times New Roman" w:hAnsi="Times New Roman" w:eastAsia="SimSun" w:cs="Times New Roman"/>
          <w:sz w:val="20"/>
          <w:szCs w:val="20"/>
        </w:rPr>
        <w:t>Springer-Verlag, London, UK, pp. 337–345.</w:t>
      </w:r>
      <w:r>
        <w:rPr>
          <w:rStyle w:val="5"/>
          <w:rFonts w:hint="default" w:ascii="Times New Roman" w:hAnsi="Times New Roman" w:eastAsia="SimSun" w:cs="Times New Roman"/>
          <w:sz w:val="20"/>
          <w:szCs w:val="20"/>
        </w:rPr>
        <w:br w:type="textWrapping"/>
      </w:r>
      <w:r>
        <w:rPr>
          <w:rStyle w:val="5"/>
          <w:rFonts w:hint="default" w:ascii="Times New Roman" w:hAnsi="Times New Roman" w:eastAsia="SimSun" w:cs="Times New Roman"/>
          <w:sz w:val="20"/>
          <w:szCs w:val="20"/>
        </w:rPr>
        <w:t>[2] Abraham, A., Philip, N. S. &amp; Saratchandran, P. (2003), ‘Modeling chaotic behavior of stock indices</w:t>
      </w:r>
      <w:r>
        <w:rPr>
          <w:rStyle w:val="5"/>
          <w:rFonts w:hint="default" w:ascii="Times New Roman" w:hAnsi="Times New Roman" w:eastAsia="SimSun" w:cs="Times New Roman"/>
          <w:sz w:val="20"/>
          <w:szCs w:val="20"/>
          <w:lang w:val="en-US" w:eastAsia="zh-CN"/>
        </w:rPr>
        <w:t xml:space="preserve"> </w:t>
      </w:r>
      <w:r>
        <w:rPr>
          <w:rStyle w:val="5"/>
          <w:rFonts w:hint="default" w:ascii="Times New Roman" w:hAnsi="Times New Roman" w:eastAsia="SimSun" w:cs="Times New Roman"/>
          <w:sz w:val="20"/>
          <w:szCs w:val="20"/>
        </w:rPr>
        <w:t xml:space="preserve">using intelligent paradigms’, </w:t>
      </w:r>
      <w:r>
        <w:rPr>
          <w:rStyle w:val="6"/>
          <w:rFonts w:hint="default" w:ascii="Times New Roman" w:hAnsi="Times New Roman" w:eastAsia="SimSun" w:cs="Times New Roman"/>
          <w:sz w:val="20"/>
          <w:szCs w:val="20"/>
        </w:rPr>
        <w:t xml:space="preserve">Neural, Parallel Sci. Comput. </w:t>
      </w:r>
      <w:r>
        <w:rPr>
          <w:rStyle w:val="5"/>
          <w:rFonts w:hint="default" w:ascii="Times New Roman" w:hAnsi="Times New Roman" w:eastAsia="SimSun" w:cs="Times New Roman"/>
          <w:sz w:val="20"/>
          <w:szCs w:val="20"/>
        </w:rPr>
        <w:t>11(1 &amp; 2), 143–160.</w:t>
      </w:r>
      <w:r>
        <w:rPr>
          <w:rStyle w:val="5"/>
          <w:rFonts w:hint="default" w:ascii="Times New Roman" w:hAnsi="Times New Roman" w:eastAsia="SimSun" w:cs="Times New Roman"/>
          <w:sz w:val="20"/>
          <w:szCs w:val="20"/>
        </w:rPr>
        <w:br w:type="textWrapping"/>
      </w:r>
      <w:r>
        <w:rPr>
          <w:rStyle w:val="5"/>
          <w:rFonts w:hint="default" w:ascii="Times New Roman" w:hAnsi="Times New Roman" w:eastAsia="SimSun" w:cs="Times New Roman"/>
          <w:sz w:val="20"/>
          <w:szCs w:val="20"/>
        </w:rPr>
        <w:t>[3] Armano, G., Marchesi, M. &amp; Murru, A. (2005), ‘A hybrid genetic-neural architecture for stock</w:t>
      </w:r>
      <w:r>
        <w:rPr>
          <w:rStyle w:val="5"/>
          <w:rFonts w:hint="default" w:ascii="Times New Roman" w:hAnsi="Times New Roman" w:eastAsia="SimSun" w:cs="Times New Roman"/>
          <w:sz w:val="20"/>
          <w:szCs w:val="20"/>
          <w:lang w:val="en-US" w:eastAsia="zh-CN"/>
        </w:rPr>
        <w:t xml:space="preserve"> </w:t>
      </w:r>
      <w:r>
        <w:rPr>
          <w:rStyle w:val="5"/>
          <w:rFonts w:hint="default" w:ascii="Times New Roman" w:hAnsi="Times New Roman" w:eastAsia="SimSun" w:cs="Times New Roman"/>
          <w:sz w:val="20"/>
          <w:szCs w:val="20"/>
        </w:rPr>
        <w:t xml:space="preserve">indexes forecasting’, </w:t>
      </w:r>
      <w:r>
        <w:rPr>
          <w:rStyle w:val="6"/>
          <w:rFonts w:hint="default" w:ascii="Times New Roman" w:hAnsi="Times New Roman" w:eastAsia="SimSun" w:cs="Times New Roman"/>
          <w:sz w:val="20"/>
          <w:szCs w:val="20"/>
        </w:rPr>
        <w:t xml:space="preserve">Information Sciences </w:t>
      </w:r>
      <w:r>
        <w:rPr>
          <w:rStyle w:val="5"/>
          <w:rFonts w:hint="default" w:ascii="Times New Roman" w:hAnsi="Times New Roman" w:eastAsia="SimSun" w:cs="Times New Roman"/>
          <w:sz w:val="20"/>
          <w:szCs w:val="20"/>
        </w:rPr>
        <w:t>170(1), 3–33.</w:t>
      </w:r>
      <w:r>
        <w:rPr>
          <w:rStyle w:val="5"/>
          <w:rFonts w:hint="default" w:ascii="Times New Roman" w:hAnsi="Times New Roman" w:eastAsia="SimSun" w:cs="Times New Roman"/>
          <w:sz w:val="20"/>
          <w:szCs w:val="20"/>
        </w:rPr>
        <w:br w:type="textWrapping"/>
      </w:r>
      <w:r>
        <w:rPr>
          <w:rStyle w:val="5"/>
          <w:rFonts w:hint="default" w:ascii="Times New Roman" w:hAnsi="Times New Roman" w:eastAsia="SimSun" w:cs="Times New Roman"/>
          <w:sz w:val="20"/>
          <w:szCs w:val="20"/>
        </w:rPr>
        <w:t xml:space="preserve">[4] Bekiros, S. D. &amp; Georgoutsos, D. A. (2008), ‘Direction-of-change forecasting using a volatilitybased recurrent neural network’, </w:t>
      </w:r>
      <w:r>
        <w:rPr>
          <w:rStyle w:val="6"/>
          <w:rFonts w:hint="default" w:ascii="Times New Roman" w:hAnsi="Times New Roman" w:eastAsia="SimSun" w:cs="Times New Roman"/>
          <w:sz w:val="20"/>
          <w:szCs w:val="20"/>
        </w:rPr>
        <w:t xml:space="preserve">Journal of Forecasting </w:t>
      </w:r>
      <w:r>
        <w:rPr>
          <w:rStyle w:val="5"/>
          <w:rFonts w:hint="default" w:ascii="Times New Roman" w:hAnsi="Times New Roman" w:eastAsia="SimSun" w:cs="Times New Roman"/>
          <w:sz w:val="20"/>
          <w:szCs w:val="20"/>
        </w:rPr>
        <w:t>27(5), 407–417.</w:t>
      </w:r>
      <w:r>
        <w:rPr>
          <w:rStyle w:val="5"/>
          <w:rFonts w:hint="default" w:ascii="Times New Roman" w:hAnsi="Times New Roman" w:eastAsia="SimSun" w:cs="Times New Roman"/>
          <w:sz w:val="20"/>
          <w:szCs w:val="20"/>
        </w:rPr>
        <w:br w:type="textWrapping"/>
      </w:r>
      <w:r>
        <w:rPr>
          <w:rStyle w:val="5"/>
          <w:rFonts w:hint="default" w:ascii="Times New Roman" w:hAnsi="Times New Roman" w:eastAsia="SimSun" w:cs="Times New Roman"/>
          <w:sz w:val="20"/>
          <w:szCs w:val="20"/>
        </w:rPr>
        <w:t>[5] Chen, A.-S., Leung, M. T. &amp; Daouk, H. (2003), ‘Application of neural networks to an emerging</w:t>
      </w:r>
      <w:r>
        <w:rPr>
          <w:rStyle w:val="5"/>
          <w:rFonts w:hint="default" w:ascii="Times New Roman" w:hAnsi="Times New Roman" w:eastAsia="SimSun" w:cs="Times New Roman"/>
          <w:sz w:val="20"/>
          <w:szCs w:val="20"/>
          <w:lang w:val="en-US" w:eastAsia="zh-CN"/>
        </w:rPr>
        <w:t xml:space="preserve"> </w:t>
      </w:r>
      <w:r>
        <w:rPr>
          <w:rStyle w:val="5"/>
          <w:rFonts w:hint="default" w:ascii="Times New Roman" w:hAnsi="Times New Roman" w:eastAsia="SimSun" w:cs="Times New Roman"/>
          <w:sz w:val="20"/>
          <w:szCs w:val="20"/>
        </w:rPr>
        <w:t xml:space="preserve">financial market: forecasting and trading the taiwan stock index’, </w:t>
      </w:r>
      <w:r>
        <w:rPr>
          <w:rStyle w:val="6"/>
          <w:rFonts w:hint="default" w:ascii="Times New Roman" w:hAnsi="Times New Roman" w:eastAsia="SimSun" w:cs="Times New Roman"/>
          <w:sz w:val="20"/>
          <w:szCs w:val="20"/>
        </w:rPr>
        <w:t xml:space="preserve">Comput. Oper. Res. </w:t>
      </w:r>
      <w:r>
        <w:rPr>
          <w:rStyle w:val="5"/>
          <w:rFonts w:hint="default" w:ascii="Times New Roman" w:hAnsi="Times New Roman" w:eastAsia="SimSun" w:cs="Times New Roman"/>
          <w:sz w:val="20"/>
          <w:szCs w:val="20"/>
        </w:rPr>
        <w:t>30(6), 901–923.</w:t>
      </w:r>
      <w:r>
        <w:rPr>
          <w:rStyle w:val="5"/>
          <w:rFonts w:hint="default" w:ascii="Times New Roman" w:hAnsi="Times New Roman" w:eastAsia="SimSun" w:cs="Times New Roman"/>
          <w:sz w:val="20"/>
          <w:szCs w:val="20"/>
        </w:rPr>
        <w:br w:type="textWrapping"/>
      </w:r>
      <w:r>
        <w:rPr>
          <w:rStyle w:val="5"/>
          <w:rFonts w:hint="default" w:ascii="Times New Roman" w:hAnsi="Times New Roman" w:eastAsia="SimSun" w:cs="Times New Roman"/>
          <w:sz w:val="20"/>
          <w:szCs w:val="20"/>
        </w:rPr>
        <w:t>[6] Chen, Q.-A. &amp; Li, C.-D. (2006), ‘Comparison of forecasting p</w:t>
      </w:r>
      <w:bookmarkStart w:id="5" w:name="_GoBack"/>
      <w:bookmarkEnd w:id="5"/>
      <w:r>
        <w:rPr>
          <w:rStyle w:val="5"/>
          <w:rFonts w:hint="default" w:ascii="Times New Roman" w:hAnsi="Times New Roman" w:eastAsia="SimSun" w:cs="Times New Roman"/>
          <w:sz w:val="20"/>
          <w:szCs w:val="20"/>
        </w:rPr>
        <w:t>erformance of ar, star and ann models</w:t>
      </w:r>
      <w:r>
        <w:rPr>
          <w:rStyle w:val="5"/>
          <w:rFonts w:hint="default" w:ascii="Times New Roman" w:hAnsi="Times New Roman" w:eastAsia="SimSun" w:cs="Times New Roman"/>
          <w:sz w:val="20"/>
          <w:szCs w:val="20"/>
          <w:lang w:val="en-US" w:eastAsia="zh-CN"/>
        </w:rPr>
        <w:t xml:space="preserve"> </w:t>
      </w:r>
      <w:r>
        <w:rPr>
          <w:rStyle w:val="5"/>
          <w:rFonts w:hint="default" w:ascii="Times New Roman" w:hAnsi="Times New Roman" w:eastAsia="SimSun" w:cs="Times New Roman"/>
          <w:sz w:val="20"/>
          <w:szCs w:val="20"/>
        </w:rPr>
        <w:t xml:space="preserve">on the chinese stock market index’, </w:t>
      </w:r>
      <w:r>
        <w:rPr>
          <w:rStyle w:val="6"/>
          <w:rFonts w:hint="default" w:ascii="Times New Roman" w:hAnsi="Times New Roman" w:eastAsia="SimSun" w:cs="Times New Roman"/>
          <w:sz w:val="20"/>
          <w:szCs w:val="20"/>
        </w:rPr>
        <w:t xml:space="preserve">Advances in Neural Networks </w:t>
      </w:r>
      <w:r>
        <w:rPr>
          <w:rStyle w:val="5"/>
          <w:rFonts w:hint="default" w:ascii="Times New Roman" w:hAnsi="Times New Roman" w:eastAsia="SimSun" w:cs="Times New Roman"/>
          <w:sz w:val="20"/>
          <w:szCs w:val="20"/>
        </w:rPr>
        <w:t>3973, 464–470.</w:t>
      </w:r>
      <w:r>
        <w:rPr>
          <w:rFonts w:hint="default" w:ascii="Times New Roman" w:hAnsi="Times New Roman" w:eastAsia="SimSun" w:cs="Times New Roman"/>
          <w:sz w:val="20"/>
          <w:szCs w:val="20"/>
        </w:rPr>
        <w:t xml:space="preserve"> </w:t>
      </w:r>
    </w:p>
    <w:p>
      <w:pPr>
        <w:keepNext w:val="0"/>
        <w:keepLines w:val="0"/>
        <w:pageBreakBefore w:val="0"/>
        <w:widowControl w:val="0"/>
        <w:kinsoku/>
        <w:wordWrap/>
        <w:overflowPunct/>
        <w:topLinePunct w:val="0"/>
        <w:autoSpaceDE/>
        <w:autoSpaceDN/>
        <w:bidi w:val="0"/>
        <w:adjustRightInd/>
        <w:snapToGrid/>
        <w:spacing w:after="80" w:line="240" w:lineRule="exact"/>
        <w:ind w:left="0" w:leftChars="0" w:right="0" w:rightChars="0" w:firstLine="0" w:firstLineChars="0"/>
        <w:jc w:val="both"/>
        <w:textAlignment w:val="auto"/>
        <w:outlineLvl w:val="9"/>
        <w:rPr>
          <w:rFonts w:hint="default" w:ascii="Times New Roman" w:hAnsi="Times New Roman" w:eastAsia="SimSun" w:cs="Times New Roman"/>
          <w:sz w:val="24"/>
          <w:szCs w:val="24"/>
          <w:lang w:val="en-US" w:eastAsia="zh-CN"/>
        </w:rPr>
      </w:pPr>
      <w:r>
        <w:rPr>
          <w:rFonts w:hint="default" w:ascii="Times New Roman" w:hAnsi="Times New Roman" w:eastAsia="SimSun" w:cs="Times New Roman"/>
          <w:b w:val="0"/>
          <w:i w:val="0"/>
          <w:color w:val="000000"/>
          <w:sz w:val="20"/>
          <w:szCs w:val="20"/>
          <w:lang w:val="en-US" w:eastAsia="zh-CN"/>
        </w:rPr>
        <w:t xml:space="preserve">[7] </w:t>
      </w:r>
      <w:r>
        <w:rPr>
          <w:rFonts w:hint="default" w:ascii="Times New Roman" w:hAnsi="Times New Roman" w:eastAsia="SimSun" w:cs="Times New Roman"/>
          <w:b w:val="0"/>
          <w:i w:val="0"/>
          <w:color w:val="000000"/>
          <w:sz w:val="20"/>
          <w:szCs w:val="20"/>
        </w:rPr>
        <w:t>Huarng, K. &amp; Yu, H.-K. (2005), ‘A type 2 fuzzy time series model for stock index forecasting’,</w:t>
      </w:r>
      <w:r>
        <w:rPr>
          <w:rFonts w:hint="default" w:ascii="Times New Roman" w:hAnsi="Times New Roman" w:eastAsia="SimSun" w:cs="Times New Roman"/>
          <w:b w:val="0"/>
          <w:i w:val="0"/>
          <w:color w:val="000000"/>
          <w:sz w:val="20"/>
          <w:szCs w:val="20"/>
          <w:lang w:val="en-US" w:eastAsia="zh-CN"/>
        </w:rPr>
        <w:t xml:space="preserve"> </w:t>
      </w:r>
      <w:r>
        <w:rPr>
          <w:rFonts w:hint="default" w:ascii="Times New Roman" w:hAnsi="Times New Roman" w:eastAsia="SimSun" w:cs="Times New Roman"/>
          <w:b w:val="0"/>
          <w:i/>
          <w:color w:val="000000"/>
          <w:sz w:val="20"/>
          <w:szCs w:val="20"/>
        </w:rPr>
        <w:t xml:space="preserve">Physica A: Statistical Mechanics and its Applications </w:t>
      </w:r>
      <w:r>
        <w:rPr>
          <w:rFonts w:hint="default" w:ascii="Times New Roman" w:hAnsi="Times New Roman" w:eastAsia="SimSun" w:cs="Times New Roman"/>
          <w:b w:val="0"/>
          <w:i w:val="0"/>
          <w:color w:val="000000"/>
          <w:sz w:val="20"/>
          <w:szCs w:val="20"/>
        </w:rPr>
        <w:t>353, 445–462.</w:t>
      </w:r>
      <w:r>
        <w:rPr>
          <w:rFonts w:hint="default" w:ascii="Times New Roman" w:hAnsi="Times New Roman" w:eastAsia="SimSun" w:cs="Times New Roman"/>
          <w:b w:val="0"/>
          <w:i w:val="0"/>
          <w:color w:val="000000"/>
          <w:sz w:val="20"/>
          <w:szCs w:val="20"/>
        </w:rPr>
        <w:br w:type="textWrapping"/>
      </w:r>
      <w:r>
        <w:rPr>
          <w:rFonts w:hint="default" w:ascii="Times New Roman" w:hAnsi="Times New Roman" w:eastAsia="SimSun" w:cs="Times New Roman"/>
          <w:b w:val="0"/>
          <w:i w:val="0"/>
          <w:color w:val="000000"/>
          <w:sz w:val="20"/>
          <w:szCs w:val="20"/>
        </w:rPr>
        <w:t>[</w:t>
      </w:r>
      <w:r>
        <w:rPr>
          <w:rFonts w:hint="default" w:ascii="Times New Roman" w:hAnsi="Times New Roman" w:eastAsia="SimSun" w:cs="Times New Roman"/>
          <w:b w:val="0"/>
          <w:i w:val="0"/>
          <w:color w:val="000000"/>
          <w:sz w:val="20"/>
          <w:szCs w:val="20"/>
          <w:lang w:val="en-US" w:eastAsia="zh-CN"/>
        </w:rPr>
        <w:t>8</w:t>
      </w:r>
      <w:r>
        <w:rPr>
          <w:rFonts w:hint="default" w:ascii="Times New Roman" w:hAnsi="Times New Roman" w:eastAsia="SimSun" w:cs="Times New Roman"/>
          <w:b w:val="0"/>
          <w:i w:val="0"/>
          <w:color w:val="000000"/>
          <w:sz w:val="20"/>
          <w:szCs w:val="20"/>
        </w:rPr>
        <w:t>] Jaruszewicz, M. &amp; Mandziuk, J. (2004), ‘One day prediction of nikkei index considering</w:t>
      </w:r>
      <w:r>
        <w:rPr>
          <w:rFonts w:hint="default" w:ascii="Times New Roman" w:hAnsi="Times New Roman" w:eastAsia="SimSun" w:cs="Times New Roman"/>
          <w:b w:val="0"/>
          <w:i w:val="0"/>
          <w:color w:val="000000"/>
          <w:sz w:val="20"/>
          <w:szCs w:val="20"/>
          <w:lang w:val="en-US" w:eastAsia="zh-CN"/>
        </w:rPr>
        <w:t xml:space="preserve"> </w:t>
      </w:r>
      <w:r>
        <w:rPr>
          <w:rFonts w:hint="default" w:ascii="Times New Roman" w:hAnsi="Times New Roman" w:eastAsia="SimSun" w:cs="Times New Roman"/>
          <w:b w:val="0"/>
          <w:i w:val="0"/>
          <w:color w:val="000000"/>
          <w:sz w:val="20"/>
          <w:szCs w:val="20"/>
        </w:rPr>
        <w:t xml:space="preserve">information from other stock markets’, </w:t>
      </w:r>
      <w:r>
        <w:rPr>
          <w:rFonts w:hint="default" w:ascii="Times New Roman" w:hAnsi="Times New Roman" w:eastAsia="SimSun" w:cs="Times New Roman"/>
          <w:b w:val="0"/>
          <w:i/>
          <w:color w:val="000000"/>
          <w:sz w:val="20"/>
          <w:szCs w:val="20"/>
        </w:rPr>
        <w:t>International Conference on Artificial Intelligence and Soft</w:t>
      </w:r>
      <w:r>
        <w:rPr>
          <w:rFonts w:hint="default" w:ascii="Times New Roman" w:hAnsi="Times New Roman" w:eastAsia="SimSun" w:cs="Times New Roman"/>
          <w:b w:val="0"/>
          <w:i/>
          <w:color w:val="000000"/>
          <w:sz w:val="20"/>
          <w:szCs w:val="20"/>
          <w:lang w:val="en-US" w:eastAsia="zh-CN"/>
        </w:rPr>
        <w:t xml:space="preserve"> </w:t>
      </w:r>
      <w:r>
        <w:rPr>
          <w:rFonts w:hint="default" w:ascii="Times New Roman" w:hAnsi="Times New Roman" w:eastAsia="SimSun" w:cs="Times New Roman"/>
          <w:b w:val="0"/>
          <w:i/>
          <w:color w:val="000000"/>
          <w:sz w:val="20"/>
          <w:szCs w:val="20"/>
        </w:rPr>
        <w:t xml:space="preserve">Computing </w:t>
      </w:r>
      <w:r>
        <w:rPr>
          <w:rFonts w:hint="default" w:ascii="Times New Roman" w:hAnsi="Times New Roman" w:eastAsia="SimSun" w:cs="Times New Roman"/>
          <w:b w:val="0"/>
          <w:i w:val="0"/>
          <w:color w:val="000000"/>
          <w:sz w:val="20"/>
          <w:szCs w:val="20"/>
        </w:rPr>
        <w:t>3070, 1130–1135.</w:t>
      </w:r>
      <w:r>
        <w:rPr>
          <w:rFonts w:hint="default" w:ascii="Times New Roman" w:hAnsi="Times New Roman" w:eastAsia="SimSun" w:cs="Times New Roman"/>
          <w:b w:val="0"/>
          <w:i w:val="0"/>
          <w:color w:val="000000"/>
          <w:sz w:val="20"/>
          <w:szCs w:val="20"/>
        </w:rPr>
        <w:br w:type="textWrapping"/>
      </w:r>
      <w:r>
        <w:rPr>
          <w:rFonts w:hint="default" w:ascii="Times New Roman" w:hAnsi="Times New Roman" w:eastAsia="SimSun" w:cs="Times New Roman"/>
          <w:b w:val="0"/>
          <w:i w:val="0"/>
          <w:color w:val="000000"/>
          <w:sz w:val="20"/>
          <w:szCs w:val="20"/>
        </w:rPr>
        <w:t>[</w:t>
      </w:r>
      <w:r>
        <w:rPr>
          <w:rFonts w:hint="default" w:ascii="Times New Roman" w:hAnsi="Times New Roman" w:eastAsia="SimSun" w:cs="Times New Roman"/>
          <w:b w:val="0"/>
          <w:i w:val="0"/>
          <w:color w:val="000000"/>
          <w:sz w:val="20"/>
          <w:szCs w:val="20"/>
          <w:lang w:val="en-US" w:eastAsia="zh-CN"/>
        </w:rPr>
        <w:t>9</w:t>
      </w:r>
      <w:r>
        <w:rPr>
          <w:rFonts w:hint="default" w:ascii="Times New Roman" w:hAnsi="Times New Roman" w:eastAsia="SimSun" w:cs="Times New Roman"/>
          <w:b w:val="0"/>
          <w:i w:val="0"/>
          <w:color w:val="000000"/>
          <w:sz w:val="20"/>
          <w:szCs w:val="20"/>
        </w:rPr>
        <w:t>] Jia, G., Chen, Y. &amp; Wu, P. (2008), ‘Menn method applications for stock market forecasting’,</w:t>
      </w:r>
      <w:r>
        <w:rPr>
          <w:rFonts w:hint="default" w:ascii="Times New Roman" w:hAnsi="Times New Roman" w:eastAsia="SimSun" w:cs="Times New Roman"/>
          <w:b w:val="0"/>
          <w:i w:val="0"/>
          <w:color w:val="000000"/>
          <w:sz w:val="20"/>
          <w:szCs w:val="20"/>
          <w:lang w:val="en-US" w:eastAsia="zh-CN"/>
        </w:rPr>
        <w:t xml:space="preserve"> </w:t>
      </w:r>
      <w:r>
        <w:rPr>
          <w:rFonts w:hint="default" w:ascii="Times New Roman" w:hAnsi="Times New Roman" w:eastAsia="SimSun" w:cs="Times New Roman"/>
          <w:b w:val="0"/>
          <w:i/>
          <w:color w:val="000000"/>
          <w:sz w:val="20"/>
          <w:szCs w:val="20"/>
        </w:rPr>
        <w:t xml:space="preserve">Advances in Neural Networks </w:t>
      </w:r>
      <w:r>
        <w:rPr>
          <w:rFonts w:hint="default" w:ascii="Times New Roman" w:hAnsi="Times New Roman" w:eastAsia="SimSun" w:cs="Times New Roman"/>
          <w:b w:val="0"/>
          <w:i w:val="0"/>
          <w:color w:val="000000"/>
          <w:sz w:val="20"/>
          <w:szCs w:val="20"/>
        </w:rPr>
        <w:t>5263, 30–39.</w:t>
      </w:r>
      <w:r>
        <w:rPr>
          <w:rFonts w:hint="default" w:ascii="Times New Roman" w:hAnsi="Times New Roman" w:eastAsia="SimSun" w:cs="Times New Roman"/>
          <w:b w:val="0"/>
          <w:i w:val="0"/>
          <w:color w:val="000000"/>
          <w:sz w:val="20"/>
          <w:szCs w:val="20"/>
        </w:rPr>
        <w:br w:type="textWrapping"/>
      </w:r>
      <w:r>
        <w:rPr>
          <w:rFonts w:hint="default" w:ascii="Times New Roman" w:hAnsi="Times New Roman" w:eastAsia="SimSun" w:cs="Times New Roman"/>
          <w:b w:val="0"/>
          <w:i w:val="0"/>
          <w:color w:val="000000"/>
          <w:sz w:val="20"/>
          <w:szCs w:val="20"/>
        </w:rPr>
        <w:t>[</w:t>
      </w:r>
      <w:r>
        <w:rPr>
          <w:rFonts w:hint="default" w:ascii="Times New Roman" w:hAnsi="Times New Roman" w:eastAsia="SimSun" w:cs="Times New Roman"/>
          <w:b w:val="0"/>
          <w:i w:val="0"/>
          <w:color w:val="000000"/>
          <w:sz w:val="20"/>
          <w:szCs w:val="20"/>
          <w:lang w:val="en-US" w:eastAsia="zh-CN"/>
        </w:rPr>
        <w:t>10</w:t>
      </w:r>
      <w:r>
        <w:rPr>
          <w:rFonts w:hint="default" w:ascii="Times New Roman" w:hAnsi="Times New Roman" w:eastAsia="SimSun" w:cs="Times New Roman"/>
          <w:b w:val="0"/>
          <w:i w:val="0"/>
          <w:color w:val="000000"/>
          <w:sz w:val="20"/>
          <w:szCs w:val="20"/>
        </w:rPr>
        <w:t>] Kim, K.-J. (2004), ‘Artificial neural networks with feature transformation based on domain</w:t>
      </w:r>
      <w:r>
        <w:rPr>
          <w:rFonts w:hint="default" w:ascii="Times New Roman" w:hAnsi="Times New Roman" w:eastAsia="SimSun" w:cs="Times New Roman"/>
          <w:b w:val="0"/>
          <w:i w:val="0"/>
          <w:color w:val="000000"/>
          <w:sz w:val="20"/>
          <w:szCs w:val="20"/>
          <w:lang w:val="en-US" w:eastAsia="zh-CN"/>
        </w:rPr>
        <w:t xml:space="preserve"> </w:t>
      </w:r>
      <w:r>
        <w:rPr>
          <w:rFonts w:hint="default" w:ascii="Times New Roman" w:hAnsi="Times New Roman" w:eastAsia="SimSun" w:cs="Times New Roman"/>
          <w:b w:val="0"/>
          <w:i w:val="0"/>
          <w:color w:val="000000"/>
          <w:sz w:val="20"/>
          <w:szCs w:val="20"/>
        </w:rPr>
        <w:t xml:space="preserve">knowledge for the prediction of stock index futures’, </w:t>
      </w:r>
      <w:r>
        <w:rPr>
          <w:rFonts w:hint="default" w:ascii="Times New Roman" w:hAnsi="Times New Roman" w:eastAsia="SimSun" w:cs="Times New Roman"/>
          <w:b w:val="0"/>
          <w:i/>
          <w:color w:val="000000"/>
          <w:sz w:val="20"/>
          <w:szCs w:val="20"/>
        </w:rPr>
        <w:t>Intelligent Systems in Accounting, Finance &amp;</w:t>
      </w:r>
      <w:r>
        <w:rPr>
          <w:rFonts w:hint="default" w:ascii="Times New Roman" w:hAnsi="Times New Roman" w:eastAsia="SimSun" w:cs="Times New Roman"/>
          <w:b w:val="0"/>
          <w:i/>
          <w:color w:val="000000"/>
          <w:sz w:val="20"/>
          <w:szCs w:val="20"/>
          <w:lang w:val="en-US" w:eastAsia="zh-CN"/>
        </w:rPr>
        <w:t xml:space="preserve"> </w:t>
      </w:r>
      <w:r>
        <w:rPr>
          <w:rFonts w:hint="default" w:ascii="Times New Roman" w:hAnsi="Times New Roman" w:eastAsia="SimSun" w:cs="Times New Roman"/>
          <w:b w:val="0"/>
          <w:i/>
          <w:color w:val="000000"/>
          <w:sz w:val="20"/>
          <w:szCs w:val="20"/>
        </w:rPr>
        <w:t xml:space="preserve">Management </w:t>
      </w:r>
      <w:r>
        <w:rPr>
          <w:rFonts w:hint="default" w:ascii="Times New Roman" w:hAnsi="Times New Roman" w:eastAsia="SimSun" w:cs="Times New Roman"/>
          <w:b w:val="0"/>
          <w:i w:val="0"/>
          <w:color w:val="000000"/>
          <w:sz w:val="20"/>
          <w:szCs w:val="20"/>
        </w:rPr>
        <w:t>12(3), 167–176.</w:t>
      </w:r>
      <w:r>
        <w:rPr>
          <w:rFonts w:hint="default" w:ascii="Times New Roman" w:hAnsi="Times New Roman" w:eastAsia="SimSun" w:cs="Times New Roman"/>
          <w:b w:val="0"/>
          <w:i w:val="0"/>
          <w:color w:val="000000"/>
          <w:sz w:val="20"/>
          <w:szCs w:val="20"/>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微軟正黑體">
    <w:panose1 w:val="020B0604030504040204"/>
    <w:charset w:val="88"/>
    <w:family w:val="auto"/>
    <w:pitch w:val="default"/>
    <w:sig w:usb0="00000087" w:usb1="28AF4000" w:usb2="00000016" w:usb3="00000000" w:csb0="00100009" w:csb1="00000000"/>
  </w:font>
  <w:font w:name="新細明體">
    <w:panose1 w:val="02020500000000000000"/>
    <w:charset w:val="88"/>
    <w:family w:val="auto"/>
    <w:pitch w:val="default"/>
    <w:sig w:usb0="A00002FF" w:usb1="28CFFCFA" w:usb2="00000016" w:usb3="00000000" w:csb0="00100001" w:csb1="00000000"/>
  </w:font>
  <w:font w:name="新細明體-ExtB">
    <w:panose1 w:val="02020500000000000000"/>
    <w:charset w:val="88"/>
    <w:family w:val="auto"/>
    <w:pitch w:val="default"/>
    <w:sig w:usb0="8000002F" w:usb1="02000008" w:usb2="00000000" w:usb3="00000000" w:csb0="00100001" w:csb1="00000000"/>
  </w:font>
  <w:font w:name="標楷體">
    <w:panose1 w:val="03000509000000000000"/>
    <w:charset w:val="88"/>
    <w:family w:val="auto"/>
    <w:pitch w:val="default"/>
    <w:sig w:usb0="00000003" w:usb1="082E0000" w:usb2="00000016" w:usb3="00000000" w:csb0="00100001" w:csb1="00000000"/>
  </w:font>
  <w:font w:name="細明體">
    <w:panose1 w:val="02020509000000000000"/>
    <w:charset w:val="88"/>
    <w:family w:val="auto"/>
    <w:pitch w:val="default"/>
    <w:sig w:usb0="A00002FF" w:usb1="28CFFCFA" w:usb2="00000016" w:usb3="00000000" w:csb0="00100001" w:csb1="00000000"/>
  </w:font>
  <w:font w:name="細明體-ExtB">
    <w:panose1 w:val="02020500000000000000"/>
    <w:charset w:val="88"/>
    <w:family w:val="auto"/>
    <w:pitch w:val="default"/>
    <w:sig w:usb0="8000002F" w:usb1="02000008" w:usb2="00000000" w:usb3="00000000" w:csb0="00100001" w:csb1="00000000"/>
  </w:font>
  <w:font w:name="細明體_HKSCS">
    <w:panose1 w:val="02020500000000000000"/>
    <w:charset w:val="88"/>
    <w:family w:val="auto"/>
    <w:pitch w:val="default"/>
    <w:sig w:usb0="A00002FF" w:usb1="38CFFCFA" w:usb2="00000016" w:usb3="00000000" w:csb0="00100001" w:csb1="00000000"/>
  </w:font>
  <w:font w:name="細明體_HKSCS-ExtB">
    <w:panose1 w:val="02020500000000000000"/>
    <w:charset w:val="88"/>
    <w:family w:val="auto"/>
    <w:pitch w:val="default"/>
    <w:sig w:usb0="8000002F" w:usb1="02000008" w:usb2="00000000" w:usb3="00000000" w:csb0="0010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FangSong">
    <w:panose1 w:val="02010609060101010101"/>
    <w:charset w:val="86"/>
    <w:family w:val="auto"/>
    <w:pitch w:val="default"/>
    <w:sig w:usb0="800002BF" w:usb1="38CF7CFA" w:usb2="00000016" w:usb3="00000000" w:csb0="00040001" w:csb1="0000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KaiTi">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eiryo UI">
    <w:panose1 w:val="020B0604030504040204"/>
    <w:charset w:val="80"/>
    <w:family w:val="auto"/>
    <w:pitch w:val="default"/>
    <w:sig w:usb0="E10102FF" w:usb1="EAC7FFFF" w:usb2="00010012" w:usb3="00000000" w:csb0="6002009F" w:csb1="DFD70000"/>
  </w:font>
  <w:font w:name="Traditional Arabic">
    <w:panose1 w:val="02020603050405020304"/>
    <w:charset w:val="00"/>
    <w:family w:val="auto"/>
    <w:pitch w:val="default"/>
    <w:sig w:usb0="00006003" w:usb1="80000000" w:usb2="00000008" w:usb3="00000000" w:csb0="00000041" w:csb1="20080000"/>
  </w:font>
  <w:font w:name="Trebuchet MS">
    <w:panose1 w:val="020B0603020202020204"/>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E0BD4"/>
    <w:rsid w:val="099E3158"/>
    <w:rsid w:val="0B2C374D"/>
    <w:rsid w:val="0D17650C"/>
    <w:rsid w:val="0EC96F7D"/>
    <w:rsid w:val="137A0D4E"/>
    <w:rsid w:val="14AF7B58"/>
    <w:rsid w:val="19D25D42"/>
    <w:rsid w:val="1C471DA3"/>
    <w:rsid w:val="20F73020"/>
    <w:rsid w:val="243A3571"/>
    <w:rsid w:val="26385C86"/>
    <w:rsid w:val="27014CFC"/>
    <w:rsid w:val="33160E97"/>
    <w:rsid w:val="33736BFC"/>
    <w:rsid w:val="397919E6"/>
    <w:rsid w:val="399F7AC9"/>
    <w:rsid w:val="3FBE7C12"/>
    <w:rsid w:val="430E1A03"/>
    <w:rsid w:val="46434971"/>
    <w:rsid w:val="510947FF"/>
    <w:rsid w:val="566F6068"/>
    <w:rsid w:val="5849564E"/>
    <w:rsid w:val="5BBE66F4"/>
    <w:rsid w:val="64A13168"/>
    <w:rsid w:val="66D93BC6"/>
    <w:rsid w:val="67BB6769"/>
    <w:rsid w:val="680E4317"/>
    <w:rsid w:val="69D401C3"/>
    <w:rsid w:val="69EB6ED2"/>
    <w:rsid w:val="6DD95FCB"/>
    <w:rsid w:val="6FAC415C"/>
    <w:rsid w:val="6FE804E0"/>
    <w:rsid w:val="75455FA8"/>
    <w:rsid w:val="7E0B351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 w:type="character" w:customStyle="1" w:styleId="5">
    <w:name w:val="fontstyle01"/>
    <w:basedOn w:val="2"/>
    <w:uiPriority w:val="0"/>
    <w:rPr>
      <w:rFonts w:hint="default" w:ascii="Times New Roman" w:hAnsi="Times New Roman" w:cs="Times New Roman"/>
      <w:color w:val="000000"/>
      <w:sz w:val="16"/>
      <w:szCs w:val="16"/>
    </w:rPr>
  </w:style>
  <w:style w:type="character" w:customStyle="1" w:styleId="6">
    <w:name w:val="fontstyle21"/>
    <w:basedOn w:val="2"/>
    <w:uiPriority w:val="0"/>
    <w:rPr>
      <w:rFonts w:hint="default" w:ascii="Times New Roman" w:hAnsi="Times New Roman" w:cs="Times New Roman"/>
      <w:i/>
      <w:color w:val="000000"/>
      <w:sz w:val="16"/>
      <w:szCs w:val="16"/>
    </w:rPr>
  </w:style>
</w:style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8" Type="http://schemas.openxmlformats.org/officeDocument/2006/relationships/chart" Target="charts/chart1.xml"/><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chart" Target="charts/chart4.xml"/><Relationship Id="rId10" Type="http://schemas.openxmlformats.org/officeDocument/2006/relationships/chart" Target="charts/chart3.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24037;&#20316;&#31807;1"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24037;&#20316;&#31807;1"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1" i="0" u="none" strike="noStrike" kern="1200" baseline="0">
                    <a:solidFill>
                      <a:schemeClr val="lt1"/>
                    </a:solidFill>
                    <a:latin typeface="+mn-lt"/>
                    <a:ea typeface="+mn-ea"/>
                    <a:cs typeface="+mn-cs"/>
                  </a:defRPr>
                </a:pP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w="9525">
                      <a:solidFill>
                        <a:schemeClr val="dk1">
                          <a:lumMod val="50000"/>
                          <a:lumOff val="50000"/>
                        </a:schemeClr>
                      </a:solidFill>
                    </a:ln>
                    <a:effectLst/>
                  </c:spPr>
                </c15:leaderLines>
              </c:ext>
            </c:extLst>
          </c:dLbls>
          <c:cat>
            <c:strRef>
              <c:f>[工作簿1]Sheet3!$A$1:$A$25</c:f>
              <c:strCache>
                <c:ptCount val="25"/>
                <c:pt idx="0">
                  <c:v>生物制药</c:v>
                </c:pt>
                <c:pt idx="1">
                  <c:v>电子信息</c:v>
                </c:pt>
                <c:pt idx="2">
                  <c:v>汽车制造</c:v>
                </c:pt>
                <c:pt idx="3">
                  <c:v>酿酒行业</c:v>
                </c:pt>
                <c:pt idx="4">
                  <c:v>房地产</c:v>
                </c:pt>
                <c:pt idx="5">
                  <c:v>机械行业</c:v>
                </c:pt>
                <c:pt idx="6">
                  <c:v>商业百货</c:v>
                </c:pt>
                <c:pt idx="7">
                  <c:v>电子器件</c:v>
                </c:pt>
                <c:pt idx="8">
                  <c:v>化工行业</c:v>
                </c:pt>
                <c:pt idx="9">
                  <c:v>金融行业</c:v>
                </c:pt>
                <c:pt idx="10">
                  <c:v>食品行业</c:v>
                </c:pt>
                <c:pt idx="11">
                  <c:v>发电设备</c:v>
                </c:pt>
                <c:pt idx="12">
                  <c:v>综合行业</c:v>
                </c:pt>
                <c:pt idx="13">
                  <c:v>服装鞋类</c:v>
                </c:pt>
                <c:pt idx="14">
                  <c:v>酒店旅游</c:v>
                </c:pt>
                <c:pt idx="15">
                  <c:v>有色金属</c:v>
                </c:pt>
                <c:pt idx="16">
                  <c:v>电力行业</c:v>
                </c:pt>
                <c:pt idx="17">
                  <c:v>煤炭行业</c:v>
                </c:pt>
                <c:pt idx="18">
                  <c:v>交通运输</c:v>
                </c:pt>
                <c:pt idx="19">
                  <c:v>建筑建材</c:v>
                </c:pt>
                <c:pt idx="20">
                  <c:v>水泥行业</c:v>
                </c:pt>
                <c:pt idx="21">
                  <c:v>传媒娱乐</c:v>
                </c:pt>
                <c:pt idx="22">
                  <c:v>农林牧渔</c:v>
                </c:pt>
                <c:pt idx="23">
                  <c:v>纺织行业</c:v>
                </c:pt>
                <c:pt idx="24">
                  <c:v>钢铁行业</c:v>
                </c:pt>
              </c:strCache>
            </c:strRef>
          </c:cat>
          <c:val>
            <c:numRef>
              <c:f>[工作簿1]Sheet3!$B$1:$B$25</c:f>
              <c:numCache>
                <c:formatCode>General</c:formatCode>
                <c:ptCount val="25"/>
                <c:pt idx="0">
                  <c:v>33</c:v>
                </c:pt>
                <c:pt idx="1">
                  <c:v>18</c:v>
                </c:pt>
                <c:pt idx="2">
                  <c:v>13</c:v>
                </c:pt>
                <c:pt idx="3">
                  <c:v>12</c:v>
                </c:pt>
                <c:pt idx="4">
                  <c:v>11</c:v>
                </c:pt>
                <c:pt idx="5">
                  <c:v>11</c:v>
                </c:pt>
                <c:pt idx="6">
                  <c:v>10</c:v>
                </c:pt>
                <c:pt idx="7">
                  <c:v>10</c:v>
                </c:pt>
                <c:pt idx="8">
                  <c:v>8</c:v>
                </c:pt>
                <c:pt idx="9">
                  <c:v>8</c:v>
                </c:pt>
                <c:pt idx="10">
                  <c:v>8</c:v>
                </c:pt>
                <c:pt idx="11">
                  <c:v>6</c:v>
                </c:pt>
                <c:pt idx="12">
                  <c:v>6</c:v>
                </c:pt>
                <c:pt idx="13">
                  <c:v>5</c:v>
                </c:pt>
                <c:pt idx="14">
                  <c:v>5</c:v>
                </c:pt>
                <c:pt idx="15">
                  <c:v>5</c:v>
                </c:pt>
                <c:pt idx="16">
                  <c:v>5</c:v>
                </c:pt>
                <c:pt idx="17">
                  <c:v>4</c:v>
                </c:pt>
                <c:pt idx="18">
                  <c:v>4</c:v>
                </c:pt>
                <c:pt idx="19">
                  <c:v>4</c:v>
                </c:pt>
                <c:pt idx="20">
                  <c:v>4</c:v>
                </c:pt>
                <c:pt idx="21">
                  <c:v>4</c:v>
                </c:pt>
                <c:pt idx="22">
                  <c:v>4</c:v>
                </c:pt>
                <c:pt idx="23">
                  <c:v>4</c:v>
                </c:pt>
                <c:pt idx="24">
                  <c:v>4</c:v>
                </c:pt>
              </c:numCache>
            </c:numRef>
          </c:val>
        </c:ser>
        <c:dLbls>
          <c:showLegendKey val="0"/>
          <c:showVal val="1"/>
          <c:showCatName val="0"/>
          <c:showSerName val="0"/>
          <c:showPercent val="0"/>
          <c:showBubbleSize val="0"/>
        </c:dLbls>
        <c:gapWidth val="65"/>
        <c:overlap val="0"/>
        <c:axId val="233570462"/>
        <c:axId val="871654705"/>
      </c:barChart>
      <c:catAx>
        <c:axId val="233570462"/>
        <c:scaling>
          <c:orientation val="minMax"/>
        </c:scaling>
        <c:delete val="0"/>
        <c:axPos val="b"/>
        <c:majorTickMark val="none"/>
        <c:minorTickMark val="none"/>
        <c:tickLblPos val="nextTo"/>
        <c:spPr>
          <a:noFill/>
          <a:ln w="19050" cap="flat" cmpd="sng" algn="ctr">
            <a:solidFill>
              <a:schemeClr val="dk1">
                <a:lumMod val="75000"/>
                <a:lumOff val="25000"/>
              </a:schemeClr>
            </a:solidFill>
            <a:round/>
          </a:ln>
          <a:effectLst/>
        </c:spPr>
        <c:txPr>
          <a:bodyPr rot="-60000000" spcFirstLastPara="0" vertOverflow="ellipsis" vert="horz" wrap="square" anchor="ctr" anchorCtr="1"/>
          <a:lstStyle/>
          <a:p>
            <a:pPr>
              <a:defRPr lang="zh-CN" sz="900" b="0" i="0" u="none" strike="noStrike" kern="1200" cap="all" baseline="0">
                <a:solidFill>
                  <a:schemeClr val="dk1">
                    <a:lumMod val="75000"/>
                    <a:lumOff val="25000"/>
                  </a:schemeClr>
                </a:solidFill>
                <a:latin typeface="+mn-lt"/>
                <a:ea typeface="+mn-ea"/>
                <a:cs typeface="+mn-cs"/>
              </a:defRPr>
            </a:pPr>
          </a:p>
        </c:txPr>
        <c:crossAx val="871654705"/>
        <c:crosses val="autoZero"/>
        <c:auto val="1"/>
        <c:lblAlgn val="ctr"/>
        <c:lblOffset val="100"/>
        <c:noMultiLvlLbl val="0"/>
      </c:catAx>
      <c:valAx>
        <c:axId val="871654705"/>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txPr>
          <a:bodyPr rot="-60000000" spcFirstLastPara="0" vertOverflow="ellipsis" vert="horz" wrap="square" anchor="ctr" anchorCtr="1"/>
          <a:lstStyle/>
          <a:p>
            <a:pPr>
              <a:defRPr lang="zh-CN" sz="900" b="0" i="0" u="none" strike="noStrike" kern="1200" baseline="0">
                <a:solidFill>
                  <a:schemeClr val="dk1">
                    <a:lumMod val="75000"/>
                    <a:lumOff val="25000"/>
                  </a:schemeClr>
                </a:solidFill>
                <a:latin typeface="+mn-lt"/>
                <a:ea typeface="+mn-ea"/>
                <a:cs typeface="+mn-cs"/>
              </a:defRPr>
            </a:pPr>
          </a:p>
        </c:txPr>
        <c:crossAx val="233570462"/>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gradFill>
    <a:ln w="9525" cap="flat" cmpd="sng" algn="ctr">
      <a:solidFill>
        <a:schemeClr val="dk1">
          <a:lumMod val="25000"/>
          <a:lumOff val="7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1" i="0" u="none" strike="noStrike" kern="1200" baseline="0">
                    <a:solidFill>
                      <a:schemeClr val="lt1"/>
                    </a:solidFill>
                    <a:latin typeface="+mn-lt"/>
                    <a:ea typeface="+mn-ea"/>
                    <a:cs typeface="+mn-cs"/>
                  </a:defRPr>
                </a:pP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w="9525">
                      <a:solidFill>
                        <a:schemeClr val="dk1">
                          <a:lumMod val="50000"/>
                          <a:lumOff val="50000"/>
                        </a:schemeClr>
                      </a:solidFill>
                    </a:ln>
                    <a:effectLst/>
                  </c:spPr>
                </c15:leaderLines>
              </c:ext>
            </c:extLst>
          </c:dLbls>
          <c:cat>
            <c:strRef>
              <c:f>[工作簿1]Sheet6!$A$1:$A$25</c:f>
              <c:strCache>
                <c:ptCount val="25"/>
                <c:pt idx="0">
                  <c:v>生物制药</c:v>
                </c:pt>
                <c:pt idx="1">
                  <c:v>电子信息</c:v>
                </c:pt>
                <c:pt idx="2">
                  <c:v>汽车制造</c:v>
                </c:pt>
                <c:pt idx="3">
                  <c:v>商业百货</c:v>
                </c:pt>
                <c:pt idx="4">
                  <c:v>酿酒行业</c:v>
                </c:pt>
                <c:pt idx="5">
                  <c:v>服装鞋类</c:v>
                </c:pt>
                <c:pt idx="6">
                  <c:v>金融行业</c:v>
                </c:pt>
                <c:pt idx="7">
                  <c:v>房地产</c:v>
                </c:pt>
                <c:pt idx="8">
                  <c:v>电力行业</c:v>
                </c:pt>
                <c:pt idx="9">
                  <c:v>传媒娱乐</c:v>
                </c:pt>
                <c:pt idx="10">
                  <c:v>机械行业</c:v>
                </c:pt>
                <c:pt idx="11">
                  <c:v>食品行业</c:v>
                </c:pt>
                <c:pt idx="12">
                  <c:v>电子器件</c:v>
                </c:pt>
                <c:pt idx="13">
                  <c:v>煤炭行业</c:v>
                </c:pt>
                <c:pt idx="14">
                  <c:v>交通运输</c:v>
                </c:pt>
                <c:pt idx="15">
                  <c:v>酒店旅游</c:v>
                </c:pt>
                <c:pt idx="16">
                  <c:v>物资外贸</c:v>
                </c:pt>
                <c:pt idx="17">
                  <c:v>综合行业</c:v>
                </c:pt>
                <c:pt idx="18">
                  <c:v>玻璃行业</c:v>
                </c:pt>
                <c:pt idx="19">
                  <c:v>公路桥梁</c:v>
                </c:pt>
                <c:pt idx="20">
                  <c:v>供水供气</c:v>
                </c:pt>
                <c:pt idx="21">
                  <c:v>环保行业</c:v>
                </c:pt>
                <c:pt idx="22">
                  <c:v>发电设备</c:v>
                </c:pt>
                <c:pt idx="23">
                  <c:v>家电行业</c:v>
                </c:pt>
                <c:pt idx="24">
                  <c:v>开发区</c:v>
                </c:pt>
              </c:strCache>
            </c:strRef>
          </c:cat>
          <c:val>
            <c:numRef>
              <c:f>[工作簿1]Sheet6!$B$1:$B$25</c:f>
              <c:numCache>
                <c:formatCode>General</c:formatCode>
                <c:ptCount val="25"/>
                <c:pt idx="0">
                  <c:v>30</c:v>
                </c:pt>
                <c:pt idx="1">
                  <c:v>11</c:v>
                </c:pt>
                <c:pt idx="2">
                  <c:v>10</c:v>
                </c:pt>
                <c:pt idx="3">
                  <c:v>10</c:v>
                </c:pt>
                <c:pt idx="4">
                  <c:v>10</c:v>
                </c:pt>
                <c:pt idx="5">
                  <c:v>8</c:v>
                </c:pt>
                <c:pt idx="6">
                  <c:v>8</c:v>
                </c:pt>
                <c:pt idx="7">
                  <c:v>7</c:v>
                </c:pt>
                <c:pt idx="8">
                  <c:v>7</c:v>
                </c:pt>
                <c:pt idx="9">
                  <c:v>6</c:v>
                </c:pt>
                <c:pt idx="10">
                  <c:v>5</c:v>
                </c:pt>
                <c:pt idx="11">
                  <c:v>5</c:v>
                </c:pt>
                <c:pt idx="12">
                  <c:v>5</c:v>
                </c:pt>
                <c:pt idx="13">
                  <c:v>4</c:v>
                </c:pt>
                <c:pt idx="14">
                  <c:v>4</c:v>
                </c:pt>
                <c:pt idx="15">
                  <c:v>4</c:v>
                </c:pt>
                <c:pt idx="16">
                  <c:v>4</c:v>
                </c:pt>
                <c:pt idx="17">
                  <c:v>4</c:v>
                </c:pt>
                <c:pt idx="18">
                  <c:v>3</c:v>
                </c:pt>
                <c:pt idx="19">
                  <c:v>3</c:v>
                </c:pt>
                <c:pt idx="20">
                  <c:v>3</c:v>
                </c:pt>
                <c:pt idx="21">
                  <c:v>3</c:v>
                </c:pt>
                <c:pt idx="22">
                  <c:v>3</c:v>
                </c:pt>
                <c:pt idx="23">
                  <c:v>2</c:v>
                </c:pt>
                <c:pt idx="24">
                  <c:v>2</c:v>
                </c:pt>
              </c:numCache>
            </c:numRef>
          </c:val>
        </c:ser>
        <c:dLbls>
          <c:showLegendKey val="0"/>
          <c:showVal val="1"/>
          <c:showCatName val="0"/>
          <c:showSerName val="0"/>
          <c:showPercent val="0"/>
          <c:showBubbleSize val="0"/>
        </c:dLbls>
        <c:gapWidth val="65"/>
        <c:overlap val="0"/>
        <c:axId val="748861469"/>
        <c:axId val="671945726"/>
      </c:barChart>
      <c:catAx>
        <c:axId val="748861469"/>
        <c:scaling>
          <c:orientation val="minMax"/>
        </c:scaling>
        <c:delete val="0"/>
        <c:axPos val="b"/>
        <c:majorTickMark val="none"/>
        <c:minorTickMark val="none"/>
        <c:tickLblPos val="nextTo"/>
        <c:spPr>
          <a:noFill/>
          <a:ln w="19050" cap="flat" cmpd="sng" algn="ctr">
            <a:solidFill>
              <a:schemeClr val="dk1">
                <a:lumMod val="75000"/>
                <a:lumOff val="25000"/>
              </a:schemeClr>
            </a:solidFill>
            <a:round/>
          </a:ln>
          <a:effectLst/>
        </c:spPr>
        <c:txPr>
          <a:bodyPr rot="-60000000" spcFirstLastPara="0" vertOverflow="ellipsis" vert="horz" wrap="square" anchor="ctr" anchorCtr="1"/>
          <a:lstStyle/>
          <a:p>
            <a:pPr>
              <a:defRPr lang="zh-CN" sz="900" b="0" i="0" u="none" strike="noStrike" kern="1200" cap="all" baseline="0">
                <a:solidFill>
                  <a:schemeClr val="dk1">
                    <a:lumMod val="75000"/>
                    <a:lumOff val="25000"/>
                  </a:schemeClr>
                </a:solidFill>
                <a:latin typeface="+mn-lt"/>
                <a:ea typeface="+mn-ea"/>
                <a:cs typeface="+mn-cs"/>
              </a:defRPr>
            </a:pPr>
          </a:p>
        </c:txPr>
        <c:crossAx val="671945726"/>
        <c:crosses val="autoZero"/>
        <c:auto val="1"/>
        <c:lblAlgn val="ctr"/>
        <c:lblOffset val="100"/>
        <c:noMultiLvlLbl val="0"/>
      </c:catAx>
      <c:valAx>
        <c:axId val="671945726"/>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txPr>
          <a:bodyPr rot="-60000000" spcFirstLastPara="0" vertOverflow="ellipsis" vert="horz" wrap="square" anchor="ctr" anchorCtr="1"/>
          <a:lstStyle/>
          <a:p>
            <a:pPr>
              <a:defRPr lang="zh-CN" sz="900" b="0" i="0" u="none" strike="noStrike" kern="1200" baseline="0">
                <a:solidFill>
                  <a:schemeClr val="dk1">
                    <a:lumMod val="75000"/>
                    <a:lumOff val="25000"/>
                  </a:schemeClr>
                </a:solidFill>
                <a:latin typeface="+mn-lt"/>
                <a:ea typeface="+mn-ea"/>
                <a:cs typeface="+mn-cs"/>
              </a:defRPr>
            </a:pPr>
          </a:p>
        </c:txPr>
        <c:crossAx val="748861469"/>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gradFill>
    <a:ln w="9525" cap="flat" cmpd="sng" algn="ctr">
      <a:solidFill>
        <a:schemeClr val="dk1">
          <a:lumMod val="25000"/>
          <a:lumOff val="7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1" i="0" u="none" strike="noStrike" kern="1200" baseline="0">
                    <a:solidFill>
                      <a:schemeClr val="lt1"/>
                    </a:solidFill>
                    <a:latin typeface="+mn-lt"/>
                    <a:ea typeface="+mn-ea"/>
                    <a:cs typeface="+mn-cs"/>
                  </a:defRPr>
                </a:pP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w="9525">
                      <a:solidFill>
                        <a:schemeClr val="dk1">
                          <a:lumMod val="50000"/>
                          <a:lumOff val="50000"/>
                        </a:schemeClr>
                      </a:solidFill>
                    </a:ln>
                    <a:effectLst/>
                  </c:spPr>
                </c15:leaderLines>
              </c:ext>
            </c:extLst>
          </c:dLbls>
          <c:cat>
            <c:strRef>
              <c:f>[工作簿1]Sheet9!$A$1:$A$25</c:f>
              <c:strCache>
                <c:ptCount val="25"/>
                <c:pt idx="0">
                  <c:v>生物制药</c:v>
                </c:pt>
                <c:pt idx="1">
                  <c:v>酿酒行业</c:v>
                </c:pt>
                <c:pt idx="2">
                  <c:v>汽车制造</c:v>
                </c:pt>
                <c:pt idx="3">
                  <c:v>电子器件</c:v>
                </c:pt>
                <c:pt idx="4">
                  <c:v>机械行业</c:v>
                </c:pt>
                <c:pt idx="5">
                  <c:v>商业百货</c:v>
                </c:pt>
                <c:pt idx="6">
                  <c:v>有色金属</c:v>
                </c:pt>
                <c:pt idx="7">
                  <c:v>电子信息</c:v>
                </c:pt>
                <c:pt idx="8">
                  <c:v>酒店旅游</c:v>
                </c:pt>
                <c:pt idx="9">
                  <c:v>食品行业</c:v>
                </c:pt>
                <c:pt idx="10">
                  <c:v>水泥行业</c:v>
                </c:pt>
                <c:pt idx="11">
                  <c:v>煤炭行业</c:v>
                </c:pt>
                <c:pt idx="12">
                  <c:v>农药化肥</c:v>
                </c:pt>
                <c:pt idx="13">
                  <c:v>电力行业</c:v>
                </c:pt>
                <c:pt idx="14">
                  <c:v>玻璃行业</c:v>
                </c:pt>
                <c:pt idx="15">
                  <c:v>服装鞋类</c:v>
                </c:pt>
                <c:pt idx="16">
                  <c:v>供水供气</c:v>
                </c:pt>
                <c:pt idx="17">
                  <c:v>化工行业</c:v>
                </c:pt>
                <c:pt idx="18">
                  <c:v>其它行业</c:v>
                </c:pt>
                <c:pt idx="19">
                  <c:v>交通运输</c:v>
                </c:pt>
                <c:pt idx="20">
                  <c:v>建筑建材</c:v>
                </c:pt>
                <c:pt idx="21">
                  <c:v>金融行业</c:v>
                </c:pt>
                <c:pt idx="22">
                  <c:v>造纸行业</c:v>
                </c:pt>
                <c:pt idx="23">
                  <c:v>医疗器械</c:v>
                </c:pt>
                <c:pt idx="24">
                  <c:v>仪器仪表</c:v>
                </c:pt>
              </c:strCache>
            </c:strRef>
          </c:cat>
          <c:val>
            <c:numRef>
              <c:f>[工作簿1]Sheet9!$B$1:$B$25</c:f>
              <c:numCache>
                <c:formatCode>General</c:formatCode>
                <c:ptCount val="25"/>
                <c:pt idx="0">
                  <c:v>16</c:v>
                </c:pt>
                <c:pt idx="1">
                  <c:v>10</c:v>
                </c:pt>
                <c:pt idx="2">
                  <c:v>9</c:v>
                </c:pt>
                <c:pt idx="3">
                  <c:v>8</c:v>
                </c:pt>
                <c:pt idx="4">
                  <c:v>6</c:v>
                </c:pt>
                <c:pt idx="5">
                  <c:v>6</c:v>
                </c:pt>
                <c:pt idx="6">
                  <c:v>4</c:v>
                </c:pt>
                <c:pt idx="7">
                  <c:v>4</c:v>
                </c:pt>
                <c:pt idx="8">
                  <c:v>3</c:v>
                </c:pt>
                <c:pt idx="9">
                  <c:v>3</c:v>
                </c:pt>
                <c:pt idx="10">
                  <c:v>3</c:v>
                </c:pt>
                <c:pt idx="11">
                  <c:v>2</c:v>
                </c:pt>
                <c:pt idx="12">
                  <c:v>2</c:v>
                </c:pt>
                <c:pt idx="13">
                  <c:v>2</c:v>
                </c:pt>
                <c:pt idx="14">
                  <c:v>1</c:v>
                </c:pt>
                <c:pt idx="15">
                  <c:v>1</c:v>
                </c:pt>
                <c:pt idx="16">
                  <c:v>1</c:v>
                </c:pt>
                <c:pt idx="17">
                  <c:v>1</c:v>
                </c:pt>
                <c:pt idx="18">
                  <c:v>1</c:v>
                </c:pt>
                <c:pt idx="19">
                  <c:v>1</c:v>
                </c:pt>
                <c:pt idx="20">
                  <c:v>1</c:v>
                </c:pt>
                <c:pt idx="21">
                  <c:v>1</c:v>
                </c:pt>
                <c:pt idx="22">
                  <c:v>1</c:v>
                </c:pt>
                <c:pt idx="23">
                  <c:v>1</c:v>
                </c:pt>
                <c:pt idx="24">
                  <c:v>1</c:v>
                </c:pt>
              </c:numCache>
            </c:numRef>
          </c:val>
        </c:ser>
        <c:dLbls>
          <c:showLegendKey val="0"/>
          <c:showVal val="1"/>
          <c:showCatName val="0"/>
          <c:showSerName val="0"/>
          <c:showPercent val="0"/>
          <c:showBubbleSize val="0"/>
        </c:dLbls>
        <c:gapWidth val="65"/>
        <c:overlap val="0"/>
        <c:axId val="298884703"/>
        <c:axId val="223073940"/>
      </c:barChart>
      <c:catAx>
        <c:axId val="298884703"/>
        <c:scaling>
          <c:orientation val="minMax"/>
        </c:scaling>
        <c:delete val="0"/>
        <c:axPos val="b"/>
        <c:majorTickMark val="none"/>
        <c:minorTickMark val="none"/>
        <c:tickLblPos val="nextTo"/>
        <c:spPr>
          <a:noFill/>
          <a:ln w="19050" cap="flat" cmpd="sng" algn="ctr">
            <a:solidFill>
              <a:schemeClr val="dk1">
                <a:lumMod val="75000"/>
                <a:lumOff val="25000"/>
              </a:schemeClr>
            </a:solidFill>
            <a:round/>
          </a:ln>
          <a:effectLst/>
        </c:spPr>
        <c:txPr>
          <a:bodyPr rot="-60000000" spcFirstLastPara="0" vertOverflow="ellipsis" vert="horz" wrap="square" anchor="ctr" anchorCtr="1"/>
          <a:lstStyle/>
          <a:p>
            <a:pPr>
              <a:defRPr lang="zh-CN" sz="900" b="0" i="0" u="none" strike="noStrike" kern="1200" cap="all" baseline="0">
                <a:solidFill>
                  <a:schemeClr val="dk1">
                    <a:lumMod val="75000"/>
                    <a:lumOff val="25000"/>
                  </a:schemeClr>
                </a:solidFill>
                <a:latin typeface="+mn-lt"/>
                <a:ea typeface="+mn-ea"/>
                <a:cs typeface="+mn-cs"/>
              </a:defRPr>
            </a:pPr>
          </a:p>
        </c:txPr>
        <c:crossAx val="223073940"/>
        <c:crosses val="autoZero"/>
        <c:auto val="1"/>
        <c:lblAlgn val="ctr"/>
        <c:lblOffset val="100"/>
        <c:noMultiLvlLbl val="0"/>
      </c:catAx>
      <c:valAx>
        <c:axId val="223073940"/>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txPr>
          <a:bodyPr rot="-60000000" spcFirstLastPara="0" vertOverflow="ellipsis" vert="horz" wrap="square" anchor="ctr" anchorCtr="1"/>
          <a:lstStyle/>
          <a:p>
            <a:pPr>
              <a:defRPr lang="zh-CN" sz="900" b="0" i="0" u="none" strike="noStrike" kern="1200" baseline="0">
                <a:solidFill>
                  <a:schemeClr val="dk1">
                    <a:lumMod val="75000"/>
                    <a:lumOff val="25000"/>
                  </a:schemeClr>
                </a:solidFill>
                <a:latin typeface="+mn-lt"/>
                <a:ea typeface="+mn-ea"/>
                <a:cs typeface="+mn-cs"/>
              </a:defRPr>
            </a:pPr>
          </a:p>
        </c:txPr>
        <c:crossAx val="298884703"/>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gradFill>
    <a:ln w="9525" cap="flat" cmpd="sng" algn="ctr">
      <a:solidFill>
        <a:schemeClr val="dk1">
          <a:lumMod val="25000"/>
          <a:lumOff val="7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1" i="0" u="none" strike="noStrike" kern="1200" baseline="0">
                    <a:solidFill>
                      <a:schemeClr val="lt1"/>
                    </a:solidFill>
                    <a:latin typeface="+mn-lt"/>
                    <a:ea typeface="+mn-ea"/>
                    <a:cs typeface="+mn-cs"/>
                  </a:defRPr>
                </a:pP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w="9525">
                      <a:solidFill>
                        <a:schemeClr val="dk1">
                          <a:lumMod val="50000"/>
                          <a:lumOff val="50000"/>
                        </a:schemeClr>
                      </a:solidFill>
                    </a:ln>
                    <a:effectLst/>
                  </c:spPr>
                </c15:leaderLines>
              </c:ext>
            </c:extLst>
          </c:dLbls>
          <c:cat>
            <c:strRef>
              <c:f>[工作簿1]Sheet12!$A$1:$A$25</c:f>
              <c:strCache>
                <c:ptCount val="25"/>
                <c:pt idx="0">
                  <c:v>生物制药</c:v>
                </c:pt>
                <c:pt idx="1">
                  <c:v>酿酒行业</c:v>
                </c:pt>
                <c:pt idx="2">
                  <c:v>交通运输</c:v>
                </c:pt>
                <c:pt idx="3">
                  <c:v>汽车制造</c:v>
                </c:pt>
                <c:pt idx="4">
                  <c:v>商业百货</c:v>
                </c:pt>
                <c:pt idx="5">
                  <c:v>电子信息</c:v>
                </c:pt>
                <c:pt idx="6">
                  <c:v>机械行业</c:v>
                </c:pt>
                <c:pt idx="7">
                  <c:v>电子器件</c:v>
                </c:pt>
                <c:pt idx="8">
                  <c:v>服装鞋类</c:v>
                </c:pt>
                <c:pt idx="9">
                  <c:v>水泥行业</c:v>
                </c:pt>
                <c:pt idx="10">
                  <c:v>传媒娱乐</c:v>
                </c:pt>
                <c:pt idx="11">
                  <c:v>钢铁行业</c:v>
                </c:pt>
                <c:pt idx="12">
                  <c:v>房地产</c:v>
                </c:pt>
                <c:pt idx="13">
                  <c:v>供水供气</c:v>
                </c:pt>
                <c:pt idx="14">
                  <c:v>酒店旅游</c:v>
                </c:pt>
                <c:pt idx="15">
                  <c:v>有色金属</c:v>
                </c:pt>
                <c:pt idx="16">
                  <c:v>农药化肥</c:v>
                </c:pt>
                <c:pt idx="17">
                  <c:v>玻璃行业</c:v>
                </c:pt>
                <c:pt idx="18">
                  <c:v>煤炭行业</c:v>
                </c:pt>
                <c:pt idx="19">
                  <c:v>公路桥梁</c:v>
                </c:pt>
                <c:pt idx="20">
                  <c:v>化工行业</c:v>
                </c:pt>
                <c:pt idx="21">
                  <c:v>金融行业</c:v>
                </c:pt>
                <c:pt idx="22">
                  <c:v>物资外贸</c:v>
                </c:pt>
                <c:pt idx="23">
                  <c:v>仪器仪表</c:v>
                </c:pt>
                <c:pt idx="24">
                  <c:v>纺织行业</c:v>
                </c:pt>
              </c:strCache>
            </c:strRef>
          </c:cat>
          <c:val>
            <c:numRef>
              <c:f>[工作簿1]Sheet12!$B$1:$B$25</c:f>
              <c:numCache>
                <c:formatCode>General</c:formatCode>
                <c:ptCount val="25"/>
                <c:pt idx="0">
                  <c:v>17</c:v>
                </c:pt>
                <c:pt idx="1">
                  <c:v>10</c:v>
                </c:pt>
                <c:pt idx="2">
                  <c:v>7</c:v>
                </c:pt>
                <c:pt idx="3">
                  <c:v>7</c:v>
                </c:pt>
                <c:pt idx="4">
                  <c:v>6</c:v>
                </c:pt>
                <c:pt idx="5">
                  <c:v>6</c:v>
                </c:pt>
                <c:pt idx="6">
                  <c:v>5</c:v>
                </c:pt>
                <c:pt idx="7">
                  <c:v>5</c:v>
                </c:pt>
                <c:pt idx="8">
                  <c:v>4</c:v>
                </c:pt>
                <c:pt idx="9">
                  <c:v>4</c:v>
                </c:pt>
                <c:pt idx="10">
                  <c:v>4</c:v>
                </c:pt>
                <c:pt idx="11">
                  <c:v>4</c:v>
                </c:pt>
                <c:pt idx="12">
                  <c:v>3</c:v>
                </c:pt>
                <c:pt idx="13">
                  <c:v>3</c:v>
                </c:pt>
                <c:pt idx="14">
                  <c:v>3</c:v>
                </c:pt>
                <c:pt idx="15">
                  <c:v>3</c:v>
                </c:pt>
                <c:pt idx="16">
                  <c:v>3</c:v>
                </c:pt>
                <c:pt idx="17">
                  <c:v>2</c:v>
                </c:pt>
                <c:pt idx="18">
                  <c:v>2</c:v>
                </c:pt>
                <c:pt idx="19">
                  <c:v>2</c:v>
                </c:pt>
                <c:pt idx="20">
                  <c:v>2</c:v>
                </c:pt>
                <c:pt idx="21">
                  <c:v>2</c:v>
                </c:pt>
                <c:pt idx="22">
                  <c:v>2</c:v>
                </c:pt>
                <c:pt idx="23">
                  <c:v>2</c:v>
                </c:pt>
                <c:pt idx="24">
                  <c:v>2</c:v>
                </c:pt>
              </c:numCache>
            </c:numRef>
          </c:val>
        </c:ser>
        <c:dLbls>
          <c:showLegendKey val="0"/>
          <c:showVal val="1"/>
          <c:showCatName val="0"/>
          <c:showSerName val="0"/>
          <c:showPercent val="0"/>
          <c:showBubbleSize val="0"/>
        </c:dLbls>
        <c:gapWidth val="65"/>
        <c:overlap val="0"/>
        <c:axId val="517472113"/>
        <c:axId val="437164891"/>
      </c:barChart>
      <c:catAx>
        <c:axId val="517472113"/>
        <c:scaling>
          <c:orientation val="minMax"/>
        </c:scaling>
        <c:delete val="0"/>
        <c:axPos val="b"/>
        <c:majorTickMark val="none"/>
        <c:minorTickMark val="none"/>
        <c:tickLblPos val="nextTo"/>
        <c:spPr>
          <a:noFill/>
          <a:ln w="19050" cap="flat" cmpd="sng" algn="ctr">
            <a:solidFill>
              <a:schemeClr val="dk1">
                <a:lumMod val="75000"/>
                <a:lumOff val="25000"/>
              </a:schemeClr>
            </a:solidFill>
            <a:round/>
          </a:ln>
          <a:effectLst/>
        </c:spPr>
        <c:txPr>
          <a:bodyPr rot="-60000000" spcFirstLastPara="0" vertOverflow="ellipsis" vert="horz" wrap="square" anchor="ctr" anchorCtr="1"/>
          <a:lstStyle/>
          <a:p>
            <a:pPr>
              <a:defRPr lang="zh-CN" sz="900" b="0" i="0" u="none" strike="noStrike" kern="1200" cap="all" baseline="0">
                <a:solidFill>
                  <a:schemeClr val="dk1">
                    <a:lumMod val="75000"/>
                    <a:lumOff val="25000"/>
                  </a:schemeClr>
                </a:solidFill>
                <a:latin typeface="+mn-lt"/>
                <a:ea typeface="+mn-ea"/>
                <a:cs typeface="+mn-cs"/>
              </a:defRPr>
            </a:pPr>
          </a:p>
        </c:txPr>
        <c:crossAx val="437164891"/>
        <c:crosses val="autoZero"/>
        <c:auto val="1"/>
        <c:lblAlgn val="ctr"/>
        <c:lblOffset val="100"/>
        <c:noMultiLvlLbl val="0"/>
      </c:catAx>
      <c:valAx>
        <c:axId val="437164891"/>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txPr>
          <a:bodyPr rot="-60000000" spcFirstLastPara="0" vertOverflow="ellipsis" vert="horz" wrap="square" anchor="ctr" anchorCtr="1"/>
          <a:lstStyle/>
          <a:p>
            <a:pPr>
              <a:defRPr lang="zh-CN" sz="900" b="0" i="0" u="none" strike="noStrike" kern="1200" baseline="0">
                <a:solidFill>
                  <a:schemeClr val="dk1">
                    <a:lumMod val="75000"/>
                    <a:lumOff val="25000"/>
                  </a:schemeClr>
                </a:solidFill>
                <a:latin typeface="+mn-lt"/>
                <a:ea typeface="+mn-ea"/>
                <a:cs typeface="+mn-cs"/>
              </a:defRPr>
            </a:pPr>
          </a:p>
        </c:txPr>
        <c:crossAx val="517472113"/>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gradFill>
    <a:ln w="9525" cap="flat" cmpd="sng" algn="ctr">
      <a:solidFill>
        <a:schemeClr val="dk1">
          <a:lumMod val="25000"/>
          <a:lumOff val="7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70613</dc:creator>
  <cp:lastModifiedBy>70613</cp:lastModifiedBy>
  <dcterms:modified xsi:type="dcterms:W3CDTF">2017-06-16T19:31:09Z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