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第二阶段 数据可视化</w:t>
      </w:r>
    </w:p>
    <w:p>
      <w:pPr>
        <w:pStyle w:val="2"/>
        <w:jc w:val="center"/>
      </w:pPr>
      <w:r>
        <w:rPr>
          <w:rFonts w:hint="eastAsia"/>
        </w:rPr>
        <w:t>Tableau-[数据可视化]</w:t>
      </w:r>
    </w:p>
    <w:p>
      <w:pPr>
        <w:pStyle w:val="3"/>
      </w:pPr>
      <w:r>
        <w:rPr>
          <w:rFonts w:hint="eastAsia"/>
        </w:rPr>
        <w:t>网校相关视频</w:t>
      </w:r>
    </w:p>
    <w:p>
      <w:r>
        <w:rPr>
          <w:rFonts w:hint="eastAsia"/>
        </w:rPr>
        <w:t>第二章 可视化</w:t>
      </w:r>
    </w:p>
    <w:p>
      <w:pPr>
        <w:pStyle w:val="3"/>
      </w:pPr>
      <w:r>
        <w:rPr>
          <w:rFonts w:hint="eastAsia"/>
        </w:rPr>
        <w:t>明确本次课知识点，明确重点难点</w:t>
      </w:r>
    </w:p>
    <w:p>
      <w:pPr>
        <w:pStyle w:val="4"/>
      </w:pPr>
      <w:r>
        <w:rPr>
          <w:rFonts w:hint="eastAsia"/>
        </w:rPr>
        <w:t>【知识点目标】</w:t>
      </w:r>
    </w:p>
    <w:p>
      <w:pPr>
        <w:numPr>
          <w:ilvl w:val="0"/>
          <w:numId w:val="4"/>
        </w:numPr>
      </w:pPr>
      <w:r>
        <w:rPr>
          <w:rFonts w:hint="eastAsia"/>
          <w:lang w:val="en-US" w:eastAsia="zh-CN"/>
        </w:rPr>
        <w:t>Tableau基本操作（二）</w:t>
      </w:r>
    </w:p>
    <w:p>
      <w:pPr>
        <w:numPr>
          <w:ilvl w:val="0"/>
          <w:numId w:val="4"/>
        </w:numPr>
      </w:pPr>
      <w:r>
        <w:rPr>
          <w:rFonts w:hint="eastAsia"/>
        </w:rPr>
        <w:t>数据可视化基本概念</w:t>
      </w:r>
    </w:p>
    <w:p>
      <w:pPr>
        <w:numPr>
          <w:ilvl w:val="0"/>
          <w:numId w:val="4"/>
        </w:numPr>
      </w:pPr>
      <w:r>
        <w:rPr>
          <w:rFonts w:hint="eastAsia"/>
        </w:rPr>
        <w:t>Tableau数据可视化</w:t>
      </w:r>
    </w:p>
    <w:p>
      <w:pPr>
        <w:pStyle w:val="4"/>
      </w:pPr>
      <w:r>
        <w:rPr>
          <w:rFonts w:hint="eastAsia"/>
        </w:rPr>
        <w:t>【重点】</w:t>
      </w:r>
    </w:p>
    <w:p>
      <w:pPr>
        <w:numPr>
          <w:ilvl w:val="0"/>
          <w:numId w:val="4"/>
        </w:numPr>
      </w:pPr>
      <w:r>
        <w:rPr>
          <w:rFonts w:hint="eastAsia"/>
        </w:rPr>
        <w:t>Tableau数据可视化</w:t>
      </w:r>
    </w:p>
    <w:p>
      <w:pPr>
        <w:pStyle w:val="4"/>
      </w:pPr>
      <w:r>
        <w:rPr>
          <w:rFonts w:hint="eastAsia"/>
        </w:rPr>
        <w:t>【难点】</w:t>
      </w:r>
    </w:p>
    <w:p>
      <w:pPr>
        <w:numPr>
          <w:ilvl w:val="0"/>
          <w:numId w:val="4"/>
        </w:numPr>
      </w:pPr>
      <w:r>
        <w:rPr>
          <w:rFonts w:hint="eastAsia"/>
        </w:rPr>
        <w:t>Tableau数据可视化</w:t>
      </w:r>
    </w:p>
    <w:p>
      <w:pPr>
        <w:pStyle w:val="3"/>
      </w:pPr>
      <w:r>
        <w:rPr>
          <w:rFonts w:hint="eastAsia"/>
        </w:rPr>
        <w:t>复习巩固作业讲解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Tableau版本差异及解决方案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Tableau数据载入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维度/度量区别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行、列、值设置与数据展示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手动排序与辅助列排序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分层与数据钻取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分组（子维度）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集（数据筛选）</w:t>
      </w:r>
    </w:p>
    <w:p>
      <w:pPr>
        <w:numPr>
          <w:ilvl w:val="0"/>
          <w:numId w:val="5"/>
        </w:numPr>
        <w:ind w:left="420" w:leftChars="0" w:hanging="420" w:firstLineChars="0"/>
      </w:pPr>
      <w:r>
        <w:rPr>
          <w:rFonts w:hint="eastAsia"/>
          <w:lang w:val="en-US" w:eastAsia="zh-CN"/>
        </w:rPr>
        <w:t>参数（动态筛选）</w:t>
      </w:r>
    </w:p>
    <w:p>
      <w:pPr>
        <w:pStyle w:val="3"/>
      </w:pPr>
      <w:r>
        <w:rPr>
          <w:rFonts w:hint="eastAsia"/>
        </w:rPr>
        <w:t>本次课程任务讲解</w:t>
      </w:r>
    </w:p>
    <w:p>
      <w:pPr>
        <w:pStyle w:val="4"/>
        <w:rPr>
          <w:rFonts w:hint="default" w:eastAsia="宋体"/>
          <w:lang w:val="en-US" w:eastAsia="zh-CN"/>
        </w:rPr>
      </w:pPr>
      <w:r>
        <w:rPr>
          <w:rFonts w:hint="eastAsia"/>
        </w:rPr>
        <w:t>【知识点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Tableau基本操作（二）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连接到数据源</w:t>
      </w:r>
    </w:p>
    <w:p>
      <w:pPr>
        <w:numPr>
          <w:ilvl w:val="0"/>
          <w:numId w:val="7"/>
        </w:numPr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cs="Times New Roman" w:asciiTheme="minorHAnsi" w:hAnsiTheme="minorHAnsi" w:eastAsiaTheme="minorEastAsia"/>
          <w:sz w:val="24"/>
          <w:szCs w:val="24"/>
          <w:lang w:val="en-US" w:eastAsia="zh-CN" w:bidi="ar-SA"/>
        </w:rPr>
        <w:t>多表连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接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72025" cy="5553710"/>
            <wp:effectExtent l="0" t="0" r="9525" b="8890"/>
            <wp:docPr id="3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55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注意各表之间的关系</w:t>
      </w:r>
    </w:p>
    <w:p>
      <w:pPr>
        <w:numPr>
          <w:ilvl w:val="0"/>
          <w:numId w:val="0"/>
        </w:numPr>
        <w:ind w:left="420" w:left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通过宽表中的数据来判断关系是否正确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inner join:结果是两表都有的数据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left join:交集+左表有的数据（右表没有的数据出现Null）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right join:交集+右表有的数据（左表没有的数据出现Null）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 join:两表所有数据，左表/右表没有的数据都出现Null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03040" cy="5118735"/>
            <wp:effectExtent l="0" t="0" r="16510" b="5715"/>
            <wp:docPr id="3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511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本质仍然是SQL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67760" cy="1882775"/>
            <wp:effectExtent l="0" t="0" r="8890" b="3175"/>
            <wp:docPr id="34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88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聚合函数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常用聚合函数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连续变量：SUM、AVG等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分类变量：计数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19500" cy="4743450"/>
            <wp:effectExtent l="0" t="0" r="0" b="0"/>
            <wp:docPr id="35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不想聚合怎么办-主要针对连续变量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通过分析-聚合度量取消连续变量的默认聚合操作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05075" cy="4381500"/>
            <wp:effectExtent l="0" t="0" r="9525" b="0"/>
            <wp:docPr id="36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分类变量默认是不聚合的，连续变量默认是聚合的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Theme="minorEastAsia" w:hAnsiTheme="minorEastAsia" w:cstheme="minorEastAsia"/>
          <w:b w:val="0"/>
          <w:bCs w:val="0"/>
          <w:lang w:val="en-US" w:eastAsia="zh-CN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计算字段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功能：从原有字段中创建新字段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13300" cy="1779270"/>
            <wp:effectExtent l="0" t="0" r="6350" b="11430"/>
            <wp:docPr id="37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r="1813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3129"/>
        </w:tabs>
        <w:ind w:firstLine="480" w:firstLineChars="20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度量的不同使用方法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3884930" cy="3830320"/>
            <wp:effectExtent l="0" t="0" r="1270" b="1778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4279265" cy="3858260"/>
            <wp:effectExtent l="0" t="0" r="6985" b="889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常用函数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日期函数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求时间的差值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41645" cy="1517650"/>
            <wp:effectExtent l="0" t="0" r="1905" b="6350"/>
            <wp:docPr id="38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151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逻辑函数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假设平均运费&lt;100,那么包邮，如果平均运费&gt;=100,则运费双方承担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实际金额=消费金额-运费</w:t>
      </w:r>
      <w:r>
        <w:drawing>
          <wp:inline distT="0" distB="0" distL="114300" distR="114300">
            <wp:extent cx="5264785" cy="1428115"/>
            <wp:effectExtent l="0" t="0" r="12065" b="63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表计算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简化计算字段和函数的操作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，常用于求同比/环比等场景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表计算获得的结果是利用多条记录（多行）返回一个值，类似于POWER BI中的度量值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计算字段获得的结果是利用每条记录获取一个值，类似于POWER BI中的计算列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Theme="minorEastAsia" w:hAnsiTheme="minorEastAsia" w:cstheme="minor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4676775" cy="7658100"/>
            <wp:effectExtent l="0" t="0" r="9525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</w:rPr>
        <w:t>【知识点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】</w:t>
      </w:r>
      <w:r>
        <w:rPr>
          <w:rFonts w:hint="eastAsia"/>
          <w:lang w:eastAsia="zh-CN"/>
        </w:rPr>
        <w:t>数据可视化基本概念</w:t>
      </w:r>
    </w:p>
    <w:p>
      <w:pPr>
        <w:pStyle w:val="5"/>
        <w:numPr>
          <w:ilvl w:val="0"/>
          <w:numId w:val="8"/>
        </w:numPr>
      </w:pPr>
      <w:r>
        <w:rPr>
          <w:rFonts w:hint="eastAsia"/>
        </w:rPr>
        <w:t>常见的数据可视化操作</w:t>
      </w:r>
    </w:p>
    <w:p>
      <w:r>
        <w:drawing>
          <wp:inline distT="0" distB="0" distL="114300" distR="114300">
            <wp:extent cx="5266690" cy="3689985"/>
            <wp:effectExtent l="0" t="0" r="10160" b="57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常用图形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条形图、饼图、折线图、直方图、箱图、树状图、散点图、地图</w:t>
      </w:r>
      <w:r>
        <w:rPr>
          <w:rFonts w:hint="eastAsia"/>
          <w:lang w:val="en-US" w:eastAsia="zh-CN"/>
        </w:rPr>
        <w:t>......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</w:rPr>
      </w:pPr>
      <w:r>
        <w:rPr>
          <w:rFonts w:hint="eastAsia"/>
        </w:rPr>
        <w:t>数据和图形的关系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连续变量（度量）</w:t>
      </w:r>
      <w:r>
        <w:rPr>
          <w:rFonts w:hint="eastAsia"/>
          <w:lang w:eastAsia="zh-CN"/>
        </w:rPr>
        <w:t>（单个变量）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直方图</w:t>
      </w:r>
      <w:r>
        <w:rPr>
          <w:rFonts w:hint="eastAsia"/>
          <w:lang w:val="en-US" w:eastAsia="zh-CN"/>
        </w:rPr>
        <w:t>/箱图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62555" cy="1966595"/>
            <wp:effectExtent l="0" t="0" r="4445" b="146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14120" cy="1981835"/>
            <wp:effectExtent l="0" t="0" r="5080" b="1841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412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观察连续变量的分布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分类变量（维度）</w:t>
      </w:r>
      <w:r>
        <w:rPr>
          <w:rFonts w:hint="eastAsia"/>
          <w:lang w:eastAsia="zh-CN"/>
        </w:rPr>
        <w:t>（单个变量）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饼图：观察分类变量类别的比例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条形图：观察分类变量各类别的数量</w:t>
      </w:r>
    </w:p>
    <w:p>
      <w:pPr>
        <w:rPr>
          <w:rFonts w:hint="eastAsia"/>
        </w:rPr>
      </w:pPr>
      <w:r>
        <w:drawing>
          <wp:inline distT="0" distB="0" distL="114300" distR="114300">
            <wp:extent cx="2212975" cy="2159000"/>
            <wp:effectExtent l="0" t="0" r="15875" b="1270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多个变量</w:t>
      </w:r>
    </w:p>
    <w:p>
      <w:pPr>
        <w:rPr>
          <w:rFonts w:hint="eastAsia"/>
        </w:rPr>
      </w:pPr>
      <w:r>
        <w:rPr>
          <w:rFonts w:hint="eastAsia"/>
        </w:rPr>
        <w:t>连续变量对连续变量的影响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散点图</w:t>
      </w:r>
      <w:r>
        <w:rPr>
          <w:rFonts w:hint="eastAsia"/>
          <w:lang w:val="en-US" w:eastAsia="zh-CN"/>
        </w:rPr>
        <w:t>/气泡图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935605"/>
            <wp:effectExtent l="0" t="0" r="15240" b="1714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</w:rPr>
        <w:t>分类变量对分类变量的影响</w:t>
      </w:r>
      <w:r>
        <w:rPr>
          <w:rFonts w:hint="eastAsia"/>
          <w:lang w:eastAsia="zh-CN"/>
        </w:rPr>
        <w:t>（交叉表）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048000" cy="184785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树状图</w:t>
      </w:r>
      <w:r>
        <w:rPr>
          <w:rFonts w:hint="eastAsia"/>
          <w:lang w:val="en-US" w:eastAsia="zh-CN"/>
        </w:rPr>
        <w:t>/突出显示图/热图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135" cy="3257550"/>
            <wp:effectExtent l="0" t="0" r="5715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分类变量对连续变量的影响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条形图</w:t>
      </w:r>
      <w:r>
        <w:rPr>
          <w:rFonts w:hint="eastAsia"/>
          <w:lang w:val="en-US" w:eastAsia="zh-CN"/>
        </w:rPr>
        <w:t>/折线图/面积图/地图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2877820"/>
            <wp:effectExtent l="0" t="0" r="7620" b="1778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eastAsia="宋体"/>
          <w:lang w:eastAsia="zh-CN"/>
        </w:rPr>
      </w:pPr>
      <w:r>
        <w:rPr>
          <w:rFonts w:hint="eastAsia"/>
        </w:rPr>
        <w:t>【知识点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】Tableau</w:t>
      </w:r>
      <w:r>
        <w:rPr>
          <w:rFonts w:hint="eastAsia"/>
          <w:lang w:eastAsia="zh-CN"/>
        </w:rPr>
        <w:t>数据可视化</w:t>
      </w:r>
    </w:p>
    <w:p>
      <w:pPr>
        <w:pStyle w:val="5"/>
        <w:numPr>
          <w:ilvl w:val="0"/>
          <w:numId w:val="9"/>
        </w:numPr>
      </w:pPr>
      <w:r>
        <w:rPr>
          <w:rFonts w:hint="eastAsia"/>
        </w:rPr>
        <w:t>Tab</w:t>
      </w:r>
      <w:r>
        <w:t>leau</w:t>
      </w:r>
      <w:r>
        <w:rPr>
          <w:rFonts w:hint="eastAsia"/>
        </w:rPr>
        <w:t>中的数据可视化</w:t>
      </w:r>
    </w:p>
    <w:p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单变量观察</w:t>
      </w:r>
    </w:p>
    <w:p>
      <w:pPr>
        <w:pStyle w:val="11"/>
        <w:numPr>
          <w:ilvl w:val="1"/>
          <w:numId w:val="10"/>
        </w:numPr>
        <w:ind w:firstLineChars="0"/>
      </w:pPr>
      <w:r>
        <w:rPr>
          <w:rFonts w:hint="eastAsia"/>
        </w:rPr>
        <w:t>连续变量</w:t>
      </w:r>
      <w:r>
        <w:rPr>
          <w:rFonts w:hint="eastAsia"/>
          <w:lang w:eastAsia="zh-CN"/>
        </w:rPr>
        <w:t>（度量）</w:t>
      </w:r>
    </w:p>
    <w:p>
      <w:pPr>
        <w:pStyle w:val="11"/>
        <w:ind w:left="840" w:firstLine="0" w:firstLineChars="0"/>
        <w:rPr>
          <w:rFonts w:hint="eastAsia" w:eastAsiaTheme="minorEastAsia"/>
          <w:lang w:eastAsia="zh-CN"/>
        </w:rPr>
      </w:pPr>
      <w:r>
        <w:rPr>
          <w:rFonts w:hint="eastAsia"/>
        </w:rPr>
        <w:t>直方图：</w:t>
      </w:r>
      <w:r>
        <w:rPr>
          <w:rFonts w:hint="eastAsia"/>
          <w:lang w:eastAsia="zh-CN"/>
        </w:rPr>
        <w:t>连续变量分箱之后的频数</w:t>
      </w:r>
      <w:r>
        <w:rPr>
          <w:rFonts w:hint="eastAsia"/>
        </w:rPr>
        <w:t>分布</w:t>
      </w:r>
      <w:r>
        <w:rPr>
          <w:rFonts w:hint="eastAsia"/>
          <w:lang w:eastAsia="zh-CN"/>
        </w:rPr>
        <w:t>，针对聚合之后的连续变量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2245" cy="2968625"/>
            <wp:effectExtent l="0" t="0" r="14605" b="317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84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箱图：分布</w:t>
      </w:r>
      <w:r>
        <w:rPr>
          <w:rFonts w:hint="eastAsia"/>
          <w:lang w:val="en-US" w:eastAsia="zh-CN"/>
        </w:rPr>
        <w:t>/异常，针对未聚合的连续变量</w:t>
      </w:r>
    </w:p>
    <w:p>
      <w:pPr>
        <w:pStyle w:val="11"/>
        <w:ind w:left="840" w:firstLine="0" w:firstLineChars="0"/>
        <w:rPr>
          <w:rFonts w:hint="eastAsia"/>
        </w:rPr>
      </w:pPr>
      <w:r>
        <w:drawing>
          <wp:inline distT="0" distB="0" distL="114300" distR="114300">
            <wp:extent cx="5266690" cy="4445635"/>
            <wp:effectExtent l="0" t="0" r="10160" b="1206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1"/>
          <w:numId w:val="10"/>
        </w:numPr>
        <w:ind w:firstLineChars="0"/>
      </w:pPr>
      <w:r>
        <w:rPr>
          <w:rFonts w:hint="eastAsia"/>
        </w:rPr>
        <w:t>分类变量</w:t>
      </w:r>
      <w:r>
        <w:rPr>
          <w:rFonts w:hint="eastAsia"/>
          <w:lang w:eastAsia="zh-CN"/>
        </w:rPr>
        <w:t>（维度）</w:t>
      </w:r>
    </w:p>
    <w:p>
      <w:pPr>
        <w:ind w:left="840"/>
        <w:rPr>
          <w:rFonts w:hint="eastAsia"/>
        </w:rPr>
      </w:pPr>
      <w:r>
        <w:rPr>
          <w:rFonts w:hint="eastAsia"/>
        </w:rPr>
        <w:t>条形图/柱状图：</w:t>
      </w:r>
      <w:r>
        <w:rPr>
          <w:rFonts w:hint="eastAsia"/>
          <w:lang w:eastAsia="zh-CN"/>
        </w:rPr>
        <w:t>展示分类变量的</w:t>
      </w:r>
      <w:r>
        <w:rPr>
          <w:rFonts w:hint="eastAsia"/>
        </w:rPr>
        <w:t>频数</w:t>
      </w:r>
    </w:p>
    <w:p>
      <w:pPr>
        <w:ind w:left="84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7325" cy="2898775"/>
            <wp:effectExtent l="0" t="0" r="9525" b="1587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rPr>
          <w:rFonts w:hint="eastAsia"/>
          <w:lang w:val="en-US" w:eastAsia="zh-CN"/>
        </w:rPr>
      </w:pPr>
      <w:r>
        <w:rPr>
          <w:rFonts w:hint="eastAsia"/>
        </w:rPr>
        <w:t>饼图：比例</w:t>
      </w:r>
      <w:r>
        <w:rPr>
          <w:rFonts w:hint="eastAsia"/>
          <w:lang w:eastAsia="zh-CN"/>
        </w:rPr>
        <w:t>，饼图一般不适合观察类别过多的分类变量，不超过</w:t>
      </w:r>
      <w:r>
        <w:rPr>
          <w:rFonts w:hint="eastAsia"/>
          <w:lang w:val="en-US" w:eastAsia="zh-CN"/>
        </w:rPr>
        <w:t>6个为宜</w:t>
      </w:r>
    </w:p>
    <w:p>
      <w:pPr>
        <w:ind w:left="84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3614420"/>
            <wp:effectExtent l="0" t="0" r="12700" b="508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rPr>
          <w:rFonts w:hint="default"/>
          <w:lang w:val="en-US" w:eastAsia="zh-CN"/>
        </w:rPr>
      </w:pPr>
    </w:p>
    <w:p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多变量观察</w:t>
      </w:r>
    </w:p>
    <w:p>
      <w:pPr>
        <w:pStyle w:val="11"/>
        <w:numPr>
          <w:ilvl w:val="1"/>
          <w:numId w:val="10"/>
        </w:numPr>
        <w:ind w:firstLineChars="0"/>
      </w:pPr>
      <w:r>
        <w:rPr>
          <w:rFonts w:hint="eastAsia"/>
        </w:rPr>
        <w:t>分类变量对分类变量</w:t>
      </w:r>
    </w:p>
    <w:p>
      <w:pPr>
        <w:pStyle w:val="11"/>
        <w:numPr>
          <w:ilvl w:val="0"/>
          <w:numId w:val="0"/>
        </w:numPr>
        <w:ind w:left="840"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交叉表：观察交叉位置的频数</w:t>
      </w:r>
    </w:p>
    <w:p>
      <w:pPr>
        <w:pStyle w:val="11"/>
        <w:numPr>
          <w:ilvl w:val="0"/>
          <w:numId w:val="0"/>
        </w:numPr>
        <w:ind w:left="840" w:leftChars="0"/>
        <w:rPr>
          <w:rFonts w:hint="eastAsia"/>
        </w:rPr>
      </w:pPr>
    </w:p>
    <w:p>
      <w:pPr>
        <w:pStyle w:val="11"/>
        <w:numPr>
          <w:ilvl w:val="0"/>
          <w:numId w:val="0"/>
        </w:numPr>
        <w:ind w:left="84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树状图</w:t>
      </w:r>
    </w:p>
    <w:p>
      <w:pPr>
        <w:pStyle w:val="11"/>
        <w:numPr>
          <w:ilvl w:val="0"/>
          <w:numId w:val="0"/>
        </w:numPr>
        <w:ind w:left="840" w:leftChars="0"/>
        <w:rPr>
          <w:rFonts w:hint="eastAsia"/>
          <w:lang w:eastAsia="zh-CN"/>
        </w:rPr>
      </w:pPr>
      <w:r>
        <w:drawing>
          <wp:inline distT="0" distB="0" distL="114300" distR="114300">
            <wp:extent cx="4530725" cy="2596515"/>
            <wp:effectExtent l="0" t="0" r="3175" b="1333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84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突出显示表</w:t>
      </w:r>
    </w:p>
    <w:p>
      <w:pPr>
        <w:pStyle w:val="11"/>
        <w:numPr>
          <w:ilvl w:val="0"/>
          <w:numId w:val="0"/>
        </w:numPr>
        <w:ind w:left="840" w:leftChars="0"/>
        <w:rPr>
          <w:rFonts w:hint="eastAsia"/>
          <w:lang w:eastAsia="zh-CN"/>
        </w:rPr>
      </w:pPr>
      <w:r>
        <w:drawing>
          <wp:inline distT="0" distB="0" distL="114300" distR="114300">
            <wp:extent cx="4959985" cy="1412240"/>
            <wp:effectExtent l="0" t="0" r="12065" b="1651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84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热图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3883025" cy="2124075"/>
            <wp:effectExtent l="0" t="0" r="3175" b="952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840" w:leftChars="0"/>
        <w:rPr>
          <w:rFonts w:hint="eastAsia"/>
          <w:lang w:eastAsia="zh-CN"/>
        </w:rPr>
      </w:pPr>
    </w:p>
    <w:p>
      <w:pPr>
        <w:pStyle w:val="3"/>
      </w:pPr>
      <w:bookmarkStart w:id="0" w:name="_GoBack"/>
      <w:bookmarkEnd w:id="0"/>
      <w:r>
        <w:rPr>
          <w:rFonts w:hint="eastAsia"/>
        </w:rPr>
        <w:t>自主学习作业讲解</w:t>
      </w:r>
    </w:p>
    <w:p>
      <w:r>
        <w:rPr>
          <w:rFonts w:hint="eastAsia"/>
        </w:rPr>
        <w:t>无</w:t>
      </w:r>
    </w:p>
    <w:p>
      <w:pPr>
        <w:pStyle w:val="3"/>
      </w:pPr>
      <w:r>
        <w:rPr>
          <w:rFonts w:hint="eastAsia"/>
        </w:rPr>
        <w:t>课程总结</w:t>
      </w:r>
    </w:p>
    <w:p>
      <w:pPr>
        <w:pStyle w:val="3"/>
      </w:pPr>
      <w:r>
        <w:rPr>
          <w:rFonts w:hint="eastAsia"/>
        </w:rPr>
        <w:t>下次自主学习任务布置</w:t>
      </w:r>
    </w:p>
    <w:p>
      <w:pPr>
        <w:pStyle w:val="5"/>
        <w:numPr>
          <w:ilvl w:val="0"/>
          <w:numId w:val="11"/>
        </w:numPr>
      </w:pPr>
      <w:r>
        <w:rPr>
          <w:rFonts w:hint="eastAsia"/>
        </w:rPr>
        <w:t>观看预习视频</w:t>
      </w:r>
    </w:p>
    <w:p>
      <w:r>
        <w:rPr>
          <w:rFonts w:hint="eastAsia"/>
        </w:rPr>
        <w:t>tableau商业智能分析 第3章 案例</w:t>
      </w:r>
    </w:p>
    <w:p>
      <w:pPr>
        <w:pStyle w:val="5"/>
        <w:numPr>
          <w:ilvl w:val="0"/>
          <w:numId w:val="12"/>
        </w:numPr>
      </w:pPr>
      <w:r>
        <w:rPr>
          <w:rFonts w:hint="eastAsia"/>
        </w:rPr>
        <w:t>课后作业</w:t>
      </w:r>
    </w:p>
    <w:p>
      <w:pPr>
        <w:numPr>
          <w:ilvl w:val="0"/>
          <w:numId w:val="13"/>
        </w:numPr>
        <w:ind w:firstLine="420"/>
        <w:rPr>
          <w:rFonts w:hint="eastAsia"/>
        </w:rPr>
      </w:pPr>
      <w:r>
        <w:rPr>
          <w:rFonts w:hint="eastAsia"/>
          <w:lang w:eastAsia="zh-CN"/>
        </w:rPr>
        <w:t>用给定的数据集（</w:t>
      </w:r>
      <w:r>
        <w:rPr>
          <w:rFonts w:hint="eastAsia"/>
          <w:lang w:val="en-US" w:eastAsia="zh-CN"/>
        </w:rPr>
        <w:t>kf1710.xlsx</w:t>
      </w:r>
      <w:r>
        <w:rPr>
          <w:rFonts w:hint="eastAsia"/>
          <w:lang w:eastAsia="zh-CN"/>
        </w:rPr>
        <w:t>）制作如下效果</w:t>
      </w:r>
    </w:p>
    <w:p>
      <w:pPr>
        <w:numPr>
          <w:ilvl w:val="0"/>
          <w:numId w:val="0"/>
        </w:numPr>
        <w:ind w:left="420" w:leftChars="0"/>
        <w:rPr>
          <w:rFonts w:hint="eastAsia"/>
        </w:rPr>
      </w:pPr>
      <w:r>
        <w:drawing>
          <wp:inline distT="0" distB="0" distL="114300" distR="114300">
            <wp:extent cx="2360295" cy="3585210"/>
            <wp:effectExtent l="0" t="0" r="1905" b="152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609215"/>
            <wp:effectExtent l="0" t="0" r="508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D5CC53"/>
    <w:multiLevelType w:val="singleLevel"/>
    <w:tmpl w:val="88D5CC53"/>
    <w:lvl w:ilvl="0" w:tentative="0">
      <w:start w:val="2"/>
      <w:numFmt w:val="decimal"/>
      <w:lvlText w:val="(%1)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1">
    <w:nsid w:val="91374FF8"/>
    <w:multiLevelType w:val="singleLevel"/>
    <w:tmpl w:val="91374FF8"/>
    <w:lvl w:ilvl="0" w:tentative="0">
      <w:start w:val="1"/>
      <w:numFmt w:val="bullet"/>
      <w:pStyle w:val="6"/>
      <w:lvlText w:val=""/>
      <w:lvlJc w:val="left"/>
      <w:pPr>
        <w:ind w:left="420" w:hanging="420"/>
      </w:pPr>
      <w:rPr>
        <w:rFonts w:hint="default" w:ascii="Wingdings" w:hAnsi="Wingdings"/>
        <w:b/>
      </w:rPr>
    </w:lvl>
  </w:abstractNum>
  <w:abstractNum w:abstractNumId="2">
    <w:nsid w:val="A8299438"/>
    <w:multiLevelType w:val="multilevel"/>
    <w:tmpl w:val="A8299438"/>
    <w:lvl w:ilvl="0" w:tentative="0">
      <w:start w:val="1"/>
      <w:numFmt w:val="decimal"/>
      <w:pStyle w:val="5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BE6587C1"/>
    <w:multiLevelType w:val="singleLevel"/>
    <w:tmpl w:val="BE6587C1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4">
    <w:nsid w:val="F3B948B3"/>
    <w:multiLevelType w:val="singleLevel"/>
    <w:tmpl w:val="F3B948B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>
    <w:nsid w:val="37600EEE"/>
    <w:multiLevelType w:val="multilevel"/>
    <w:tmpl w:val="37600EEE"/>
    <w:lvl w:ilvl="0" w:tentative="0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entative="0">
      <w:start w:val="1"/>
      <w:numFmt w:val="decimalEnclosedCircleChinese"/>
      <w:lvlText w:val="%2　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06587F5"/>
    <w:multiLevelType w:val="singleLevel"/>
    <w:tmpl w:val="606587F5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 w:cs="Wingdings"/>
      </w:rPr>
    </w:lvl>
  </w:abstractNum>
  <w:abstractNum w:abstractNumId="7">
    <w:nsid w:val="78A3283B"/>
    <w:multiLevelType w:val="singleLevel"/>
    <w:tmpl w:val="78A3283B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7"/>
  </w:num>
  <w:num w:numId="5">
    <w:abstractNumId w:val="6"/>
  </w:num>
  <w:num w:numId="6">
    <w:abstractNumId w:val="2"/>
    <w:lvlOverride w:ilvl="0">
      <w:startOverride w:val="1"/>
    </w:lvlOverride>
  </w:num>
  <w:num w:numId="7">
    <w:abstractNumId w:val="0"/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5"/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14894"/>
    <w:rsid w:val="00172A27"/>
    <w:rsid w:val="004F1D73"/>
    <w:rsid w:val="005E10D5"/>
    <w:rsid w:val="007C45A0"/>
    <w:rsid w:val="0096663B"/>
    <w:rsid w:val="00A52DF2"/>
    <w:rsid w:val="00A713BE"/>
    <w:rsid w:val="0B796750"/>
    <w:rsid w:val="0C7F2BD2"/>
    <w:rsid w:val="0E371F5A"/>
    <w:rsid w:val="0FDE6C0C"/>
    <w:rsid w:val="14775353"/>
    <w:rsid w:val="15077AF5"/>
    <w:rsid w:val="21534E4D"/>
    <w:rsid w:val="22814825"/>
    <w:rsid w:val="27FD01B3"/>
    <w:rsid w:val="2B0F14D2"/>
    <w:rsid w:val="31841300"/>
    <w:rsid w:val="345F073D"/>
    <w:rsid w:val="389D2AD4"/>
    <w:rsid w:val="3BBC64FA"/>
    <w:rsid w:val="3E44474A"/>
    <w:rsid w:val="41276A4E"/>
    <w:rsid w:val="45D06D35"/>
    <w:rsid w:val="49CA045B"/>
    <w:rsid w:val="49CC62B1"/>
    <w:rsid w:val="4B3C2F59"/>
    <w:rsid w:val="4D262F43"/>
    <w:rsid w:val="50815C9C"/>
    <w:rsid w:val="50B97346"/>
    <w:rsid w:val="529B1B66"/>
    <w:rsid w:val="5393610B"/>
    <w:rsid w:val="5B9F210E"/>
    <w:rsid w:val="5E965AB7"/>
    <w:rsid w:val="5EB70B62"/>
    <w:rsid w:val="5FF931FC"/>
    <w:rsid w:val="61CE0E1D"/>
    <w:rsid w:val="62D762BD"/>
    <w:rsid w:val="63DB29E8"/>
    <w:rsid w:val="641D38DF"/>
    <w:rsid w:val="66BF653D"/>
    <w:rsid w:val="6993284F"/>
    <w:rsid w:val="6A417372"/>
    <w:rsid w:val="71E36164"/>
    <w:rsid w:val="73202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rFonts w:eastAsia="宋体"/>
      <w:b/>
      <w:kern w:val="44"/>
      <w:sz w:val="48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numPr>
        <w:ilvl w:val="0"/>
        <w:numId w:val="1"/>
      </w:numPr>
      <w:spacing w:before="80" w:after="80"/>
      <w:outlineLvl w:val="1"/>
    </w:pPr>
    <w:rPr>
      <w:rFonts w:ascii="Arial" w:hAnsi="Arial" w:eastAsia="宋体"/>
      <w:b/>
      <w:sz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outlineLvl w:val="2"/>
    </w:pPr>
    <w:rPr>
      <w:rFonts w:eastAsia="宋体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0"/>
        <w:numId w:val="2"/>
      </w:numPr>
      <w:outlineLvl w:val="3"/>
    </w:pPr>
    <w:rPr>
      <w:rFonts w:ascii="Arial" w:hAnsi="Arial" w:eastAsia="黑体"/>
      <w:b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0"/>
        <w:numId w:val="3"/>
      </w:numPr>
      <w:outlineLvl w:val="4"/>
    </w:pPr>
    <w:rPr>
      <w:b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qFormat/>
    <w:uiPriority w:val="0"/>
    <w:pPr>
      <w:spacing w:beforeAutospacing="1" w:afterAutospacing="1"/>
    </w:pPr>
  </w:style>
  <w:style w:type="character" w:customStyle="1" w:styleId="10">
    <w:name w:val="标题 2 字符"/>
    <w:link w:val="3"/>
    <w:qFormat/>
    <w:uiPriority w:val="0"/>
    <w:rPr>
      <w:rFonts w:ascii="Arial" w:hAnsi="Arial" w:eastAsia="宋体"/>
      <w:b/>
      <w:sz w:val="36"/>
    </w:rPr>
  </w:style>
  <w:style w:type="paragraph" w:styleId="11">
    <w:name w:val="List Paragraph"/>
    <w:basedOn w:val="1"/>
    <w:qFormat/>
    <w:uiPriority w:val="99"/>
    <w:pPr>
      <w:ind w:firstLine="420" w:firstLineChars="200"/>
    </w:pPr>
  </w:style>
  <w:style w:type="paragraph" w:customStyle="1" w:styleId="12">
    <w:name w:val="Body text|1"/>
    <w:basedOn w:val="1"/>
    <w:qFormat/>
    <w:uiPriority w:val="0"/>
    <w:pPr>
      <w:widowControl w:val="0"/>
      <w:shd w:val="clear" w:color="auto" w:fill="auto"/>
      <w:spacing w:line="389" w:lineRule="auto"/>
      <w:ind w:firstLine="400"/>
    </w:pPr>
    <w:rPr>
      <w:rFonts w:ascii="宋体" w:hAnsi="宋体" w:eastAsia="宋体" w:cs="宋体"/>
      <w:sz w:val="18"/>
      <w:szCs w:val="18"/>
      <w:u w:val="none"/>
      <w:shd w:val="clear" w:color="auto" w:fill="auto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68</Words>
  <Characters>389</Characters>
  <Lines>3</Lines>
  <Paragraphs>1</Paragraphs>
  <TotalTime>0</TotalTime>
  <ScaleCrop>false</ScaleCrop>
  <LinksUpToDate>false</LinksUpToDate>
  <CharactersWithSpaces>456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老z</cp:lastModifiedBy>
  <dcterms:modified xsi:type="dcterms:W3CDTF">2019-07-19T14:50:18Z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