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Bernard C. Young</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250 City Hall</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Baltimore, MD  21202</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Bernard C. Young,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deaths of George Floyd, Robert Johnson Jr., Freddie Gray, and Mya Hall have genuinely concerned me, particularly with regard to unacceptable police conduct. As a resident of Baltimore,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Baltimore alone, there have been 30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Michael Harrison, Police Commissioner</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Baltimore</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7</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policy that bans shooting at moving vehicles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