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of Police Wade Gourley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Oklahoma City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700 Colcord Drive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Oklahoma City, Oklahoma  73102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Chief Gourley,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Oklahoma City,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I appreciate your officers’ de-escalation response to protests, in particular when they took a knee and some hugged the protestors.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Oklahoma City alone, there have been 46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Oklahoma City.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Oklahoma City: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