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pyruxup0s2d" w:id="0"/>
      <w:bookmarkEnd w:id="0"/>
      <w:r w:rsidDel="00000000" w:rsidR="00000000" w:rsidRPr="00000000">
        <w:rPr>
          <w:rtl w:val="0"/>
        </w:rPr>
        <w:t xml:space="preserve">Download: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either the doge or anova folder (should be a zipped folder after downloading)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Extract all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7y2vhpu0ly5" w:id="1"/>
      <w:bookmarkEnd w:id="1"/>
      <w:r w:rsidDel="00000000" w:rsidR="00000000" w:rsidRPr="00000000">
        <w:rPr>
          <w:rtl w:val="0"/>
        </w:rPr>
        <w:t xml:space="preserve">Install: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folder “for redistribution” and double click the .exe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Follow the prompts to install the function as well as MATLAB runtime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Microsoft Excel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“File”--&gt;  “Options”--&gt; “add ins”--&gt;Manage Excel add in--&gt; “Go”--&gt;”Browse”--&gt;navigate to the folder “for_redistribution_files_only” and select “anova.xla”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z89x0wzuafb" w:id="2"/>
      <w:bookmarkEnd w:id="2"/>
      <w:r w:rsidDel="00000000" w:rsidR="00000000" w:rsidRPr="00000000">
        <w:rPr>
          <w:rtl w:val="0"/>
        </w:rPr>
        <w:t xml:space="preserve">Use the doge  formula: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Microsoft Excel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an empty cell, type “=doge()” (the doge function has no argument)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brings up a doge. Give it a minute, the first time the function calls it takes a little time, using it again should be faster.</w:t>
      </w:r>
    </w:p>
    <w:p w:rsidR="00000000" w:rsidDel="00000000" w:rsidP="00000000" w:rsidRDefault="00000000" w:rsidRPr="00000000">
      <w:pPr>
        <w:contextualSpacing w:val="0"/>
      </w:pPr>
      <w:r w:rsidDel="00000000" w:rsidR="00000000" w:rsidRPr="00000000">
        <w:drawing>
          <wp:inline distB="114300" distT="114300" distL="114300" distR="114300">
            <wp:extent cx="3681413" cy="2761059"/>
            <wp:effectExtent b="0" l="0" r="0" t="0"/>
            <wp:docPr descr="doge.png" id="1" name="image02.png"/>
            <a:graphic>
              <a:graphicData uri="http://schemas.openxmlformats.org/drawingml/2006/picture">
                <pic:pic>
                  <pic:nvPicPr>
                    <pic:cNvPr descr="doge.png" id="0" name="image02.png"/>
                    <pic:cNvPicPr preferRelativeResize="0"/>
                  </pic:nvPicPr>
                  <pic:blipFill>
                    <a:blip r:embed="rId5"/>
                    <a:srcRect b="0" l="0" r="0" t="0"/>
                    <a:stretch>
                      <a:fillRect/>
                    </a:stretch>
                  </pic:blipFill>
                  <pic:spPr>
                    <a:xfrm>
                      <a:off x="0" y="0"/>
                      <a:ext cx="3681413" cy="27610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ez3ipuhkh8t" w:id="3"/>
      <w:bookmarkEnd w:id="3"/>
      <w:r w:rsidDel="00000000" w:rsidR="00000000" w:rsidRPr="00000000">
        <w:rPr>
          <w:rtl w:val="0"/>
        </w:rPr>
        <w:t xml:space="preserve">Use the anova formula: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an empty cell, type “=anova(x),” where “x” is the data that you want to conduct a one way analysis of variance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data that is highlighted should be in the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instance, try highlighting the following data (car origins and their MPGs):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2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085"/>
        <w:tblGridChange w:id="0">
          <w:tblGrid>
            <w:gridCol w:w="1235"/>
            <w:gridCol w:w="1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France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Sweden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LignoLink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France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Sweden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France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Japan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anova function returns the following 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00663" cy="3971963"/>
            <wp:effectExtent b="0" l="0" r="0" t="0"/>
            <wp:docPr descr="test_figure.png" id="2" name="image03.png"/>
            <a:graphic>
              <a:graphicData uri="http://schemas.openxmlformats.org/drawingml/2006/picture">
                <pic:pic>
                  <pic:nvPicPr>
                    <pic:cNvPr descr="test_figure.png" id="0" name="image03.png"/>
                    <pic:cNvPicPr preferRelativeResize="0"/>
                  </pic:nvPicPr>
                  <pic:blipFill>
                    <a:blip r:embed="rId6"/>
                    <a:srcRect b="0" l="0" r="0" t="0"/>
                    <a:stretch>
                      <a:fillRect/>
                    </a:stretch>
                  </pic:blipFill>
                  <pic:spPr>
                    <a:xfrm>
                      <a:off x="0" y="0"/>
                      <a:ext cx="5300663" cy="3971963"/>
                    </a:xfrm>
                    <a:prstGeom prst="rect"/>
                    <a:ln/>
                  </pic:spPr>
                </pic:pic>
              </a:graphicData>
            </a:graphic>
          </wp:inline>
        </w:drawing>
      </w:r>
      <w:r w:rsidDel="00000000" w:rsidR="00000000" w:rsidRPr="00000000">
        <w:rPr>
          <w:rtl w:val="0"/>
        </w:rPr>
        <w:br w:type="textWrapping"/>
        <w:t xml:space="preserve">Try selecting different groups to test the means for statistically significant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lmklqy80qa" w:id="4"/>
      <w:bookmarkEnd w:id="4"/>
      <w:r w:rsidDel="00000000" w:rsidR="00000000" w:rsidRPr="00000000">
        <w:rPr>
          <w:rtl w:val="0"/>
        </w:rPr>
        <w:t xml:space="preserve">Details: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anova function tests for statistically significant differences between means at the significance level of 95% (alpha = 0.05)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critical value is determined using the Tukey-Kramer honest significant difference criterion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guts of the function are taken from this documentation: </w:t>
      </w:r>
      <w:hyperlink r:id="rId7">
        <w:r w:rsidDel="00000000" w:rsidR="00000000" w:rsidRPr="00000000">
          <w:rPr>
            <w:color w:val="1155cc"/>
            <w:u w:val="single"/>
            <w:rtl w:val="0"/>
          </w:rPr>
          <w:t xml:space="preserve">http://www.mathworks.com/help/stats/multcompare.html?refresh=true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function ignores any missing rows. If there is an empty cell in the leftmost column (the names column) then the data in the cell to the right will be ignored. Likewise, if there is a name with no data point, this row will also be ignored. Basically, empty rows do not trip up the anova function and can be included in the highlighted block. I did this so that blocks of different groups can be separated in the Excel spreadsheet with empty rows to make it easy on the eyes.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function ignores any columns in between the left and rightmost columns that are in the highlighted block. This means that if the following block was highlighted: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type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type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type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type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the test would conduct a one way anova on the groups (leftmost column) for Data type 2 (rightmost column). If you want to run it on Data type 1, simply highlight:</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90"/>
        <w:gridCol w:w="0"/>
        <w:tblGridChange w:id="0">
          <w:tblGrid>
            <w:gridCol w:w="3090"/>
            <w:gridCol w:w="3090"/>
            <w:gridCol w:w="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type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type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this is because in spreadsheets I often have data in the form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instance, maybe something like this: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575"/>
        <w:gridCol w:w="1880"/>
        <w:gridCol w:w="1880"/>
        <w:gridCol w:w="1880"/>
        <w:tblGridChange w:id="0">
          <w:tblGrid>
            <w:gridCol w:w="2145"/>
            <w:gridCol w:w="1575"/>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Company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income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McCormick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1.0993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McCormick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Ocean Spray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Ocean Spray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1.0990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the anova function is set up, you can easily conduct the test on any of the metrics (return, sales, income, or tax) just by highlighting different regions in the spreadsheet. If you want to do income, highlight this part (don’t highlight the table headings)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575"/>
        <w:gridCol w:w="1635"/>
        <w:gridCol w:w="1635"/>
        <w:gridCol w:w="0"/>
        <w:tblGridChange w:id="0">
          <w:tblGrid>
            <w:gridCol w:w="2145"/>
            <w:gridCol w:w="1575"/>
            <w:gridCol w:w="1635"/>
            <w:gridCol w:w="1635"/>
            <w:gridCol w:w="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McCormick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McCormick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Ocean Spray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Ocean Spray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the company name and rightmost column (income) will be used in the test, and the blank row will be ignored.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www.mathworks.com/help/stats/multcompare.html?refresh=true" TargetMode="External"/></Relationships>
</file>