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 499 Milestone Four: Enhancement Three — Databases</w:t>
      </w:r>
    </w:p>
    <w:p>
      <w:pPr>
        <w:spacing w:after="400"/>
        <w:jc w:val="center"/>
      </w:pPr>
      <w:r>
        <w:rPr>
          <w:i/>
          <w:iCs/>
        </w:rPr>
        <w:t xml:space="preserve">Narrative — Clayton Cooper, Southern New Hampshire University, CS 499: Computer Science Capstone</w:t>
      </w:r>
    </w:p>
    <w:p>
      <w:pPr>
        <w:pStyle w:val="Heading1"/>
        <w:spacing w:after="150" w:before="300"/>
      </w:pPr>
      <w:r>
        <w:t xml:space="preserve">Artifact Description</w:t>
      </w:r>
    </w:p>
    <w:p>
      <w:pPr>
        <w:spacing w:after="200" w:line="360"/>
        <w:jc w:val="both"/>
      </w:pPr>
      <w:r>
        <w:t xml:space="preserve">The Inventory App, which was initially developed for CS 360 (Mobile Architecture and Programming), has been improved twice in this capstone: for Software Design and Engineering in Milestone Two (salted-hash authentication) and for Algorithms and Data Structures in Milestone Three (searching, sorting, grouping, and heap-based low-stock reporting). Written in Java against the Android SDK, the app is a native Android application that allows a user to register, log in, and manage an inventory of products, including adding, modifying, and deleting items as well as getting an SMS alert when an item's amount drops to zero. A single DatabaseHelper class, based on SQLiteOpenHelper, handles all persistence.</w:t>
      </w:r>
    </w:p>
    <w:p>
      <w:pPr>
        <w:spacing w:after="200" w:line="360"/>
        <w:jc w:val="both"/>
      </w:pPr>
      <w:r>
        <w:t xml:space="preserve">The improvement in this milestone directly addresses that persistent layer. Prior to this milestone, the database design had two structural issues. First, there was no connection at all between the inventory table and the users table; each entry was global, allowing any logged-in account to view, modify, or remove the items of any other account. The users table was never used to scope the data it was supposed to protect; it was only there for authentication. Second, the database lacked a record of its own past; without one, it was impossible to determine "what changed, and when" if a quantity was overwritten or an item was removed. This milestone addresses both issues.</w:t>
      </w:r>
    </w:p>
    <w:p>
      <w:pPr>
        <w:pStyle w:val="Heading1"/>
        <w:spacing w:after="150" w:before="300"/>
      </w:pPr>
      <w:r>
        <w:t xml:space="preserve">Justification for Inclusion</w:t>
      </w:r>
    </w:p>
    <w:p>
      <w:pPr>
        <w:spacing w:after="200" w:line="360"/>
        <w:jc w:val="both"/>
      </w:pPr>
      <w:r>
        <w:t xml:space="preserve">Because a single carefully selected artifact that is examined through three distinct lenses — security, algorithms, and now database design — tells a more cohesive story about my development than three unconnected artifacts would, I decided to improve the Inventory App a third time in the Databases category. This improvement demonstrates the following database-specific abilities:</w:t>
      </w:r>
    </w:p>
    <w:p>
      <w:pPr>
        <w:spacing w:after="200" w:line="360"/>
        <w:jc w:val="both"/>
      </w:pPr>
      <w:r>
        <w:t xml:space="preserve">Relational integrity: With an explicit ON DELETE CASCADE rule, the inventory table now returns a user_id foreign key to users. Additionally, PRAGMA foreign_keys is enabled for each connection via onConfigure(), ensuring that the constraint is enforced in practice rather than only on paper.</w:t>
      </w:r>
    </w:p>
    <w:p>
      <w:pPr>
        <w:spacing w:after="200" w:line="360"/>
        <w:jc w:val="both"/>
      </w:pPr>
      <w:r>
        <w:t xml:space="preserve">Schema migration: Instead of dropping and recreating the table, onUpgrade() carries every pre-existing inventory row forward into the new schema (assigning it to the earliest registered account, since the old schema recorded no ownership at all). This is the same non-destructive migration pattern used for the users table in Milestone Two.</w:t>
      </w:r>
    </w:p>
    <w:p>
      <w:pPr>
        <w:spacing w:after="200" w:line="360"/>
        <w:jc w:val="both"/>
      </w:pPr>
      <w:r>
        <w:t xml:space="preserve">A new audit-log table (inventory_history) that keeps track of all additions, updates, and deletions together with a timestamp and, if relevant, the old and new quantity. It also includes a denormalized snapshot of the item's name so that a history entry may still be read correctly even after the item has been destroyed.</w:t>
      </w:r>
    </w:p>
    <w:p>
      <w:pPr>
        <w:spacing w:after="200" w:line="360"/>
        <w:jc w:val="both"/>
      </w:pPr>
      <w:r>
        <w:t xml:space="preserve">Transactions: Every write (add, update, delete) that affects both the history table and the inventory table is wrapped in a database transaction. The audit log can never be out of sync with the data it is meant to describe due to a crash or error between beginTransaction(), setTransactionSuccessful(), and endTransaction().</w:t>
      </w:r>
    </w:p>
    <w:p>
      <w:pPr>
        <w:spacing w:after="200" w:line="360"/>
        <w:jc w:val="both"/>
      </w:pPr>
      <w:r>
        <w:t xml:space="preserve">Indexing: Indices were placed on inventory.user_id, inventory.category, and inventory_history.item_id / user_id, since each of those columns is now filtered on each screen load instead of being scanned only at startup.</w:t>
      </w:r>
    </w:p>
    <w:p>
      <w:pPr>
        <w:spacing w:after="200" w:line="360"/>
        <w:jc w:val="both"/>
      </w:pPr>
      <w:r>
        <w:t xml:space="preserve">The logged-in user's ID is now read by DashboardActivity and AddItemActivity on the application side from a small SessionManager class that was set at login time. Every DatabaseHelper call (getAllItems, addItem, updateItemQuantity, deleteItem) takes that ID as a parameter and uses it to filter or verify ownership. The audit log is directly visible to the user through a new "View History" button on the Dashboard, which was constructed in the same manner as the existing "Low Stock Report" button in Milestone Three. This indicates that the new table is more than just underutilized infrastructure beneath the program.</w:t>
      </w:r>
    </w:p>
    <w:p>
      <w:pPr>
        <w:pStyle w:val="Heading1"/>
        <w:spacing w:after="150" w:before="300"/>
      </w:pPr>
      <w:r>
        <w:t xml:space="preserve">Course Outcomes</w:t>
      </w:r>
    </w:p>
    <w:p>
      <w:pPr>
        <w:spacing w:after="200" w:line="360"/>
        <w:jc w:val="both"/>
      </w:pPr>
      <w:r>
        <w:t xml:space="preserve">For this area, my Module One outcome-coverage plan focused on the results of applying novel and well-founded computing approaches and tools to build solutions that provide value in database work, software engineering, and design. This improvement, in my opinion, achieves that goal: the migration path demonstrates the same respect for existing data as the Milestone Two password migration, the audit log and transactional writes are actual database techniques (not just more Java), and the user-scoping fix closes a real data-isolation gap rather than a cosmetic one.</w:t>
      </w:r>
    </w:p>
    <w:p>
      <w:pPr>
        <w:spacing w:after="200" w:line="360"/>
        <w:jc w:val="both"/>
      </w:pPr>
      <w:r>
        <w:t xml:space="preserve">Additionally, this improvement significantly advances the security-mindset outcome that I designated as this category's secondary goal. Because every UPDATE and DELETE statement now includes user_id in its WHERE clause, not just its SELECT statements, scoping every read and write to the authenticated user's ID is an authorization fix rather than merely a filtering convenience. Even a logged-in user who guesses the row ID of another item can no longer read, modify, or delete a row they do not own. The security outcome encourages students to anticipate exactly such an adversarial-access scenario.</w:t>
      </w:r>
    </w:p>
    <w:p>
      <w:pPr>
        <w:spacing w:after="200" w:line="360"/>
        <w:jc w:val="both"/>
      </w:pPr>
      <w:r>
        <w:t xml:space="preserve">My initial outcome-coverage plan does not need to be altered. If anything, this milestone demonstrated the practical overlap between the database and security categories: a database expansion that merely adds tables and indices without also reevaluating who is permitted to touch which rows would have overlooked the more crucial portion of the issue.</w:t>
      </w:r>
    </w:p>
    <w:p>
      <w:pPr>
        <w:pStyle w:val="Heading1"/>
        <w:spacing w:after="150" w:before="300"/>
      </w:pPr>
      <w:r>
        <w:t xml:space="preserve">Reflection</w:t>
      </w:r>
    </w:p>
    <w:p>
      <w:pPr>
        <w:spacing w:after="200" w:line="360"/>
        <w:jc w:val="both"/>
      </w:pPr>
      <w:r>
        <w:t xml:space="preserve">The migration — how to add a NOT NULL, foreign-keyed user_id column to a table that has been storing unscoped data with no ownership information at all — was the most difficult design choice in this milestone, not the structure itself. The rename-recreate-repopulate-drop pattern used for the users table migration in Milestone Two had to be followed for the schema modification because SQLite's ALTER TABLE cannot add a foreign-key-constrained field after the fact. Choosing what to do with rows that already existed but had no recorded owner was the truly unpleasant part. Instead of silently deleting them, I decided to assign them to the earliest-registered account. I made this clear in both this narrative and the migration method's own comments, rather than treating it as an unimportant detail. A migration that is truthful about its limitations is preferable to one that silently loses data or reassigns it without disclosing the underlying presumption.</w:t>
      </w:r>
    </w:p>
    <w:p>
      <w:pPr>
        <w:spacing w:after="200" w:line="360"/>
        <w:jc w:val="both"/>
      </w:pPr>
      <w:r>
        <w:t xml:space="preserve">Maintaining the new inventory_history table's usefulness after the entry it depicts was removed was the other significant problem. When showing history, my initial thought was to just join inventory_history to inventory on item_id. However, this breaks the instant an item is deleted, because the join would then return nothing for that item's own deletion entry. This is resolved by storing a denormalized snapshot of the item's name directly on the history row, but at the expense of the traditional normalization trade-off: in theory, the name may now get out of sync with a renamed item. I came to the conclusion that this trade-off was appropriate because the purpose of an audit log is to document events as they occurred, not to reflect the present status of the table it is auditing. The objective of maintaining a history entry would be defeated if it altered its own narrative after the event.</w:t>
      </w:r>
    </w:p>
    <w:p>
      <w:pPr>
        <w:spacing w:after="200" w:line="360"/>
        <w:jc w:val="both"/>
      </w:pPr>
      <w:r>
        <w:t xml:space="preserve">I also learned something specific about testing database programs by writing the JUnit test suite for DatabaseHelper. Because DatabaseHelper extends SQLiteOpenHelper, it cannot be tested in the same manner as Milestone Three's InventorySorter, InventorySearchUtils, and InventoryGrouper classes, which never used an Android API. I introduced Robolectric, which runs a real SQLite database against a simulated Android environment directly on the local JVM, instead of relying on a sluggish, emulator-based instrumented test. This allowed me to write standard, quick JUnit tests without sacrificing the quick local feedback loop I had grown accustomed to in the previous milestone, such as verifying that one user's items are invisible to another, that a non-owner's update or delete attempt is silently rejected rather than silently succeeding, and that every add, update, and delete produces exactly the audit-log row it should.</w:t>
      </w:r>
    </w:p>
    <w:p>
      <w:pPr>
        <w:spacing w:after="200" w:line="360"/>
        <w:jc w:val="both"/>
      </w:pPr>
      <w:r>
        <w:t xml:space="preserve">All things considered, this improvement reaffirmed that database development in an actual application is rarely limited to the schema diagram. The columns here are straightforward; the difficult choices were what to do with foreign keys when they are deleted, what a migration owes to data that it can no longer completely explain, and what a history table can presume about the future of the rows it covers.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2026-08-11T21:35:12.871Z</dcterms:created>
  <dcterms:modified xsi:type="dcterms:W3CDTF">2026-08-11T21:35:12.871Z</dcterms:modified>
</cp:coreProperties>
</file>

<file path=docProps/custom.xml><?xml version="1.0" encoding="utf-8"?>
<Properties xmlns="http://schemas.openxmlformats.org/officeDocument/2006/custom-properties" xmlns:vt="http://schemas.openxmlformats.org/officeDocument/2006/docPropsVTypes"/>
</file>