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C518" w:sz="8"/>
        </w:pBdr>
        <w:spacing w:after="60" w:before="0"/>
        <w:jc w:val="center"/>
      </w:pPr>
      <w:r>
        <w:rPr>
          <w:rFonts w:ascii="Arial" w:cs="Arial" w:eastAsia="Arial" w:hAnsi="Arial"/>
          <w:b/>
          <w:bCs/>
          <w:color w:val="0A1628"/>
          <w:sz w:val="36"/>
          <w:szCs w:val="36"/>
        </w:rPr>
        <w:t xml:space="preserve">Interview Summary</w:t>
      </w:r>
    </w:p>
    <w:p>
      <w:pPr>
        <w:spacing w:after="20" w:before="100"/>
        <w:jc w:val="center"/>
      </w:pPr>
      <w:r>
        <w:rPr>
          <w:rFonts w:ascii="Arial" w:cs="Arial" w:eastAsia="Arial" w:hAnsi="Arial"/>
          <w:b/>
          <w:bCs/>
          <w:color w:val="444444"/>
          <w:sz w:val="26"/>
          <w:szCs w:val="26"/>
        </w:rPr>
        <w:t xml:space="preserve">Adam Zavadsky | ENGIE Impact</w:t>
      </w:r>
    </w:p>
    <w:p>
      <w:pPr>
        <w:spacing w:after="20" w:before="0"/>
        <w:jc w:val="center"/>
      </w:pPr>
      <w:r>
        <w:rPr>
          <w:rFonts w:ascii="Arial" w:cs="Arial" w:eastAsia="Arial" w:hAnsi="Arial"/>
          <w:color w:val="444444"/>
          <w:sz w:val="22"/>
          <w:szCs w:val="22"/>
        </w:rPr>
        <w:t xml:space="preserve">Senior Account Manager</w:t>
      </w:r>
    </w:p>
    <w:p>
      <w:pPr>
        <w:spacing w:after="200" w:before="0"/>
        <w:jc w:val="center"/>
      </w:pPr>
      <w:r>
        <w:rPr>
          <w:rFonts w:ascii="Arial" w:cs="Arial" w:eastAsia="Arial" w:hAnsi="Arial"/>
          <w:i/>
          <w:iCs/>
          <w:color w:val="777777"/>
          <w:sz w:val="20"/>
          <w:szCs w:val="20"/>
        </w:rPr>
        <w:t xml:space="preserve">Conducted by Clayton Hester  |  April 14,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C518" w:sz="6"/>
              <w:left w:val="single" w:color="F5C518" w:sz="6"/>
              <w:bottom w:val="single" w:color="F5C518" w:sz="6"/>
              <w:right w:val="single" w:color="F5C518" w:sz="6"/>
            </w:tcBorders>
            <w:shd w:fill="FEF9E7" w:val="clear"/>
            <w:tcMar>
              <w:top w:type="dxa" w:w="120"/>
              <w:left w:type="dxa" w:w="160"/>
              <w:bottom w:type="dxa" w:w="120"/>
              <w:right w:type="dxa" w:w="160"/>
            </w:tcMar>
          </w:tcPr>
          <w:p>
            <w:pPr>
              <w:spacing w:after="60" w:before="0"/>
            </w:pPr>
            <w:r>
              <w:rPr>
                <w:rFonts w:ascii="Arial" w:cs="Arial" w:eastAsia="Arial" w:hAnsi="Arial"/>
                <w:b/>
                <w:bCs/>
                <w:color w:val="0A1628"/>
                <w:sz w:val="22"/>
                <w:szCs w:val="22"/>
              </w:rPr>
              <w:t xml:space="preserve">Why This Interview Matters</w:t>
            </w:r>
          </w:p>
          <w:p>
            <w:pPr>
              <w:spacing w:after="0" w:before="0"/>
            </w:pPr>
            <w:r>
              <w:rPr>
                <w:rFonts w:ascii="Arial" w:cs="Arial" w:eastAsia="Arial" w:hAnsi="Arial"/>
                <w:sz w:val="21"/>
                <w:szCs w:val="21"/>
              </w:rPr>
              <w:t xml:space="preserve">Adam Zavadsky is a Senior Account Manager at ENGIE Impact (formerly ENGIE Insight / Ecova), one of the largest outsourced utility bill processing and sustainability consulting firms in the United States. He manages a portfolio of enterprise clients that includes Panda Restaurant Group — the referral that connected him to this interview. With roughly 18 years at ENGIE Impact after a prior career in investment banking, Adam provides a uniquely financial and operational perspective on the managed energy services industry. His interview is the most direct source of intelligence on ENGIE Impact's business model, AI strategy, competitive positioning, and the structural advantages that incumbent bill processors hold over newer AI-native entrants.</w:t>
            </w:r>
          </w:p>
        </w:tc>
      </w:tr>
    </w:tbl>
    <w:p>
      <w:pPr>
        <w:spacing w:after="160" w:before="0"/>
      </w:pPr>
    </w:p>
    <w:p>
      <w:pPr>
        <w:pStyle w:val="Heading1"/>
      </w:pPr>
      <w:r>
        <w:rPr>
          <w:rFonts w:ascii="Arial" w:cs="Arial" w:eastAsia="Arial" w:hAnsi="Arial"/>
        </w:rPr>
        <w:t xml:space="preserve">1. Interviewee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Field</w:t>
            </w:r>
          </w:p>
        </w:tc>
        <w:tc>
          <w:tcPr>
            <w:tcW w:type="dxa" w:w="7020"/>
            <w:tcBorders>
              <w:top w:val="single" w:color="D0D0D0" w:sz="1"/>
              <w:left w:val="single" w:color="D0D0D0" w:sz="1"/>
              <w:bottom w:val="single" w:color="D0D0D0" w:sz="1"/>
              <w:right w:val="single" w:color="D0D0D0" w:sz="1"/>
            </w:tcBorders>
            <w:shd w:fill="0A1628"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Name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Adam Zavadsky</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Title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Senior Account Manager</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Company</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ENGIE Impact (formerly ENGIE Insight / Ecova)</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Location</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Saint Paul, MN</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Education</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BS, University of Minnesota Carlson School of Management</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Prior Experience</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Investment banking (Piper Jaffray, ~10 years)</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Tenure at ENGIE</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~18 years</w:t>
            </w:r>
          </w:p>
        </w:tc>
      </w:tr>
      <w:tr>
        <w:tc>
          <w:tcPr>
            <w:tcW w:type="dxa" w:w="23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b/>
                <w:bCs/>
                <w:color w:val="0A1628"/>
                <w:sz w:val="21"/>
                <w:szCs w:val="21"/>
              </w:rPr>
              <w:t xml:space="preserve">Client Referral</w:t>
            </w:r>
          </w:p>
        </w:tc>
        <w:tc>
          <w:tcPr>
            <w:tcW w:type="dxa" w:w="702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tcPr>
          <w:p>
            <w:r>
              <w:rPr>
                <w:rFonts w:ascii="Arial" w:cs="Arial" w:eastAsia="Arial" w:hAnsi="Arial"/>
                <w:sz w:val="21"/>
                <w:szCs w:val="21"/>
              </w:rPr>
              <w:t xml:space="preserve">Roger Goldstein, Executive Director Facilities &amp; Energy, Panda Restaurant Group</w:t>
            </w:r>
          </w:p>
        </w:tc>
      </w:tr>
      <w:tr>
        <w:tc>
          <w:tcPr>
            <w:tcW w:type="dxa" w:w="234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b/>
                <w:bCs/>
                <w:color w:val="0A1628"/>
                <w:sz w:val="21"/>
                <w:szCs w:val="21"/>
              </w:rPr>
              <w:t xml:space="preserve">Interview Method</w:t>
            </w:r>
          </w:p>
        </w:tc>
        <w:tc>
          <w:tcPr>
            <w:tcW w:type="dxa" w:w="7020"/>
            <w:tcBorders>
              <w:top w:val="single" w:color="D0D0D0" w:sz="1"/>
              <w:left w:val="single" w:color="D0D0D0" w:sz="1"/>
              <w:bottom w:val="single" w:color="D0D0D0" w:sz="1"/>
              <w:right w:val="single" w:color="D0D0D0" w:sz="1"/>
            </w:tcBorders>
            <w:shd w:fill="EBF0F8" w:val="clear"/>
            <w:tcMar>
              <w:top w:type="dxa" w:w="80"/>
              <w:left w:type="dxa" w:w="120"/>
              <w:bottom w:type="dxa" w:w="80"/>
              <w:right w:type="dxa" w:w="120"/>
            </w:tcMar>
          </w:tcPr>
          <w:p>
            <w:r>
              <w:rPr>
                <w:rFonts w:ascii="Arial" w:cs="Arial" w:eastAsia="Arial" w:hAnsi="Arial"/>
                <w:sz w:val="21"/>
                <w:szCs w:val="21"/>
              </w:rPr>
              <w:t xml:space="preserve">Live call with Clayton Hester  |  April 14, 2026</w:t>
            </w:r>
          </w:p>
        </w:tc>
      </w:tr>
    </w:tbl>
    <w:p>
      <w:pPr>
        <w:spacing w:after="80" w:before="0"/>
      </w:pPr>
    </w:p>
    <w:p>
      <w:pPr>
        <w:spacing w:after="100" w:before="0"/>
      </w:pPr>
      <w:r>
        <w:rPr>
          <w:rFonts w:ascii="Arial" w:cs="Arial" w:eastAsia="Arial" w:hAnsi="Arial"/>
          <w:sz w:val="22"/>
          <w:szCs w:val="22"/>
        </w:rPr>
        <w:t xml:space="preserve">Adam's path to energy management was unconventional. He came out of investment banking — where he spent roughly 10 years — and transitioned to energy consulting through a college friend who worked in the field. He joined what was then an independent energy consulting firm that was later acquired by ENGIE's broader family, and has been building client relationships in the outsourced utility management space ever since. His finance background gives him a lens on the business that differs from the engineering-trained energy managers who dominate most of the organizations Clear Current is targeting.</w:t>
      </w:r>
    </w:p>
    <w:p>
      <w:pPr>
        <w:pStyle w:val="Heading1"/>
      </w:pPr>
      <w:r>
        <w:rPr>
          <w:rFonts w:ascii="Arial" w:cs="Arial" w:eastAsia="Arial" w:hAnsi="Arial"/>
        </w:rPr>
        <w:t xml:space="preserve">2. ENGIE Impact — Business Model &amp; Operations</w:t>
      </w:r>
    </w:p>
    <w:p>
      <w:pPr>
        <w:pStyle w:val="Heading2"/>
      </w:pPr>
      <w:r>
        <w:rPr>
          <w:rFonts w:ascii="Arial" w:cs="Arial" w:eastAsia="Arial" w:hAnsi="Arial"/>
        </w:rPr>
        <w:t xml:space="preserve">2.1 Core Value Proposition: Outsourced Payables + Centralized Data</w:t>
      </w:r>
    </w:p>
    <w:p>
      <w:pPr>
        <w:spacing w:after="100" w:before="0"/>
      </w:pPr>
      <w:r>
        <w:rPr>
          <w:rFonts w:ascii="Arial" w:cs="Arial" w:eastAsia="Arial" w:hAnsi="Arial"/>
          <w:sz w:val="22"/>
          <w:szCs w:val="22"/>
        </w:rPr>
        <w:t xml:space="preserve">ENGIE Impact's foundational offering is outsourced utility bill processing. For clients like Panda Restaurant Group, all utility and waste invoices — across thousands of sites — are routed to ENGIE Impact, where they are received, reviewed, entered into the system, and paid on the client's behalf in a daily consolidated payment run. Adam described this as a 'labor avoidance' function that also creates the data infrastructure for everything else ENGIE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"You can't manage what you can't measure. We can't help you if we don't pay your bills because otherwise we'd have no idea what we're doing."</w:t>
            </w:r>
          </w:p>
        </w:tc>
      </w:tr>
    </w:tbl>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ENGIE Impact's competitive moat is not the dashboard or the analytics — it's the data. They have 20 years of Panda's utility data in their system. A new AI-native platform entering this relationship would need to either partner with ENGIE Impact or displace them entirely to access that data. This is the structural access problem Clear Current must solve in the QSR vertical.</w:t>
      </w:r>
    </w:p>
    <w:p>
      <w:pPr>
        <w:pStyle w:val="Heading2"/>
      </w:pPr>
      <w:r>
        <w:rPr>
          <w:rFonts w:ascii="Arial" w:cs="Arial" w:eastAsia="Arial" w:hAnsi="Arial"/>
        </w:rPr>
        <w:t xml:space="preserve">2.2 Service Stack on Top of Bill Processing</w:t>
      </w:r>
    </w:p>
    <w:p>
      <w:pPr>
        <w:spacing w:after="100" w:before="0"/>
      </w:pPr>
      <w:r>
        <w:rPr>
          <w:rFonts w:ascii="Arial" w:cs="Arial" w:eastAsia="Arial" w:hAnsi="Arial"/>
          <w:sz w:val="22"/>
          <w:szCs w:val="22"/>
        </w:rPr>
        <w:t xml:space="preserve">Once centralized bill data exists, ENGIE Impact layers additional services on top of it: energy procurement consulting, waste management optimization, recycling and diversion consulting, sustainability reporting, and scope 1/2/3 emissions inventories. Clients can subscribe to any combination of these. For Panda, ENGIE Impact manages both utility bill processing and waste consulting, but Panda handles proactive energy management programs in-house.</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ENGIE Impact is a full-service energy and sustainability firm, not a software product. The competitive framing for Clear Current is not head-to-head software vs. software — it is a targeted AI intelligence layer that fills the analytical gap between ENGIE's bill processing function and Panda's internal decision-making.</w:t>
      </w:r>
    </w:p>
    <w:p>
      <w:pPr>
        <w:pStyle w:val="Heading1"/>
      </w:pPr>
      <w:r>
        <w:rPr>
          <w:rFonts w:ascii="Arial" w:cs="Arial" w:eastAsia="Arial" w:hAnsi="Arial"/>
        </w:rPr>
        <w:t xml:space="preserve">3. Key Interview Findings</w:t>
      </w:r>
    </w:p>
    <w:p>
      <w:pPr>
        <w:pStyle w:val="Heading2"/>
      </w:pPr>
      <w:r>
        <w:rPr>
          <w:rFonts w:ascii="Arial" w:cs="Arial" w:eastAsia="Arial" w:hAnsi="Arial"/>
        </w:rPr>
        <w:t xml:space="preserve">3.1 AI at ENGIE Impact: Internally Focused, Not Client-Facing</w:t>
      </w:r>
    </w:p>
    <w:p>
      <w:pPr>
        <w:spacing w:after="100" w:before="0"/>
      </w:pPr>
      <w:r>
        <w:rPr>
          <w:rFonts w:ascii="Arial" w:cs="Arial" w:eastAsia="Arial" w:hAnsi="Arial"/>
          <w:sz w:val="22"/>
          <w:szCs w:val="22"/>
        </w:rPr>
        <w:t xml:space="preserve">When asked about AI adoption, Adam drew a clear distinction: ENGIE Impact is using AI primarily to improve internal bill processing workflows, not to enhance client-facing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"We're using AI to scrape data off of bills, to get invoices into our system more efficiently, without errors, less labor. We're not using it as much on the client deliverable side because those require a subject matter expert to collaborate with you on what we're going to do."</w:t>
            </w:r>
          </w:p>
        </w:tc>
      </w:tr>
    </w:tbl>
    <w:p>
      <w:pPr>
        <w:spacing w:after="100" w:before="0"/>
      </w:pPr>
      <w:r>
        <w:rPr>
          <w:rFonts w:ascii="Arial" w:cs="Arial" w:eastAsia="Arial" w:hAnsi="Arial"/>
          <w:sz w:val="22"/>
          <w:szCs w:val="22"/>
        </w:rPr>
        <w:t xml:space="preserve">Adam identified the core data intake challenge: large utilities like Pacific Gas &amp; Electric have electronic data feeds that flow directly into ENGIE's system. But the roughly 30,000 municipalities in the United States — which bill for water and sewer — often have no digital infrastructure at all. ENGIE still receives paper bills from many of these, scans them with a large-volume scanner, runs OCR, and then has data entry staff manually key the numbers in because there is no consistent format.</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The bill format problem that Phil Combs identified from the Trane side is confirmed here from the ENGIE side. Paper bills from small municipalities are the persistent bottleneck. If Clear Current's platform can handle this format variation more reliably than ENGIE's current OCR + manual keying workflow, that is a genuine competitive capability.</w:t>
      </w:r>
    </w:p>
    <w:p>
      <w:pPr>
        <w:pStyle w:val="Heading2"/>
      </w:pPr>
      <w:r>
        <w:rPr>
          <w:rFonts w:ascii="Arial" w:cs="Arial" w:eastAsia="Arial" w:hAnsi="Arial"/>
        </w:rPr>
        <w:t xml:space="preserve">3.2 Exception Monitoring: Threshold-Based, Not Pattern-Based</w:t>
      </w:r>
    </w:p>
    <w:p>
      <w:pPr>
        <w:spacing w:after="100" w:before="0"/>
      </w:pPr>
      <w:r>
        <w:rPr>
          <w:rFonts w:ascii="Arial" w:cs="Arial" w:eastAsia="Arial" w:hAnsi="Arial"/>
          <w:sz w:val="22"/>
          <w:szCs w:val="22"/>
        </w:rPr>
        <w:t xml:space="preserve">ENGIE Impact's anomaly detection system compares incoming bills against a historical range. If a bill falls outside a set tolerance, it goes into an exception queue for review by the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"We're looking at past history to see if it's within a certain tolerance or range. If it's out of range, we'll alert Panda to like, hey, normally your water is X and this bill we just got in is Y — is something wrong?"</w:t>
            </w:r>
          </w:p>
        </w:tc>
      </w:tr>
    </w:tbl>
    <w:p>
      <w:pPr>
        <w:spacing w:after="100" w:before="0"/>
      </w:pPr>
      <w:r>
        <w:rPr>
          <w:rFonts w:ascii="Arial" w:cs="Arial" w:eastAsia="Arial" w:hAnsi="Arial"/>
          <w:sz w:val="22"/>
          <w:szCs w:val="22"/>
        </w:rPr>
        <w:t xml:space="preserve">Adam acknowledged the limitation of this approach directly: they flag the anomaly, but cannot diagnose why it happened. They do not have visibility into operational events at the site level — whether a pool was refilled, a kitchen deep clean was scheduled, or a meter was malfunctioning.</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identical to the 'baseline drift' problem Roger Goldstein described at Panda. ENGIE's threshold-based system catches spikes but misses gradual creep. A pattern deviation detection model — not just a spike threshold — is the technical differentiation Clear Current should lead with in any QSR or managed services channel conversation.</w:t>
      </w:r>
    </w:p>
    <w:p>
      <w:pPr>
        <w:pStyle w:val="Heading2"/>
      </w:pPr>
      <w:r>
        <w:rPr>
          <w:rFonts w:ascii="Arial" w:cs="Arial" w:eastAsia="Arial" w:hAnsi="Arial"/>
        </w:rPr>
        <w:t xml:space="preserve">3.3 Competitive Positioning: The Data Moat</w:t>
      </w:r>
    </w:p>
    <w:p>
      <w:pPr>
        <w:spacing w:after="100" w:before="0"/>
      </w:pPr>
      <w:r>
        <w:rPr>
          <w:rFonts w:ascii="Arial" w:cs="Arial" w:eastAsia="Arial" w:hAnsi="Arial"/>
          <w:sz w:val="22"/>
          <w:szCs w:val="22"/>
        </w:rPr>
        <w:t xml:space="preserve">When shown a competitor's platform (Arcadia), Adam's response was measured but strategically revealing. He acknowledged that the dashboards and sustainability analytics looked similar to ENGIE's own portals, but zeroed in on the structural difference: data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"Arcadia — they don't pay bills, right? So how would they provide this service? They would need to either partner with someone who does pay bills, or they would need a centralized repository."</w:t>
            </w:r>
          </w:p>
        </w:tc>
      </w:tr>
    </w:tbl>
    <w:p>
      <w:pPr>
        <w:spacing w:after="100" w:before="0"/>
      </w:pPr>
      <w:r>
        <w:rPr>
          <w:rFonts w:ascii="Arial" w:cs="Arial" w:eastAsia="Arial" w:hAnsi="Arial"/>
          <w:sz w:val="22"/>
          <w:szCs w:val="22"/>
        </w:rPr>
        <w:t xml:space="preserve">He went further to articulate ENGIE's moat directly: 'The hard part, the part that's not sexy or isn't fun, is in order to get that dashboard, you have to collect the data.' The AI-powered analytics that competitors showcase are layered on top of data that incumbents like ENGIE already possess.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confirms what Marc Spieler identified as Track 3 — licensing into existing platforms. ENGIE Impact is the exact type of incumbent operator that a licensing or partnership conversation should target. Their client data + Clear Current's AI intelligence layer = a compelling combined offering that neither can build alone at the same quality.</w:t>
      </w:r>
    </w:p>
    <w:p>
      <w:pPr>
        <w:pStyle w:val="Heading2"/>
      </w:pPr>
      <w:r>
        <w:rPr>
          <w:rFonts w:ascii="Arial" w:cs="Arial" w:eastAsia="Arial" w:hAnsi="Arial"/>
        </w:rPr>
        <w:t xml:space="preserve">3.4 Market Consolidation Dynamics</w:t>
      </w:r>
    </w:p>
    <w:p>
      <w:pPr>
        <w:spacing w:after="100" w:before="0"/>
      </w:pPr>
      <w:r>
        <w:rPr>
          <w:rFonts w:ascii="Arial" w:cs="Arial" w:eastAsia="Arial" w:hAnsi="Arial"/>
          <w:sz w:val="22"/>
          <w:szCs w:val="22"/>
        </w:rPr>
        <w:t xml:space="preserve">Adam noted that at enterprise scale — large organizations with a geographic footprint across the U.S. — there are very few credible outsourced bill processing providers. The mom-and-pop energy procurement shops and smaller advisory firms exist, but operating at the volume and accuracy required for a company like Panda is a high-barrier business. This market dynamic means a handful of large players (ENGIE Impact, NG Insight's parent, a few others) control the data for much of the large multi-site commercial market.</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For Clear Current, the path into the large enterprise QSR and retail market may run through partnerships with these data holders rather than direct-to-customer sales. Whoever processes the bills controls the data. Getting embedded in that workflow — even as a white-labeled intelligence layer — could be more valuable than displacing the incumbent.</w:t>
      </w:r>
    </w:p>
    <w:p>
      <w:pPr>
        <w:pStyle w:val="Heading2"/>
      </w:pPr>
      <w:r>
        <w:rPr>
          <w:rFonts w:ascii="Arial" w:cs="Arial" w:eastAsia="Arial" w:hAnsi="Arial"/>
        </w:rPr>
        <w:t xml:space="preserve">3.5 AI and the Sustainability Tension</w:t>
      </w:r>
    </w:p>
    <w:p>
      <w:pPr>
        <w:spacing w:after="100" w:before="0"/>
      </w:pPr>
      <w:r>
        <w:rPr>
          <w:rFonts w:ascii="Arial" w:cs="Arial" w:eastAsia="Arial" w:hAnsi="Arial"/>
          <w:sz w:val="22"/>
          <w:szCs w:val="22"/>
        </w:rPr>
        <w:t xml:space="preserve">Adam raised a point that has not come up in other interviews: as a sustainability company, ENGIE Impact is internally conflicted about its AI adoption because of the energy footprint of AI infrastructure itself. He noted that there are thoughtful internal conversations about when and how AI should be used given the company's stated mission.</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is an interesting flag for Clear Current's sales conversations in the sustainability-conscious segment. Framing Clear Current's AI platform as energy-efficient or as reducing wasted energy spend rather than adding to grid load could be a useful differentiator when engaging ESG-focused prospects.</w:t>
      </w:r>
    </w:p>
    <w:p>
      <w:pPr>
        <w:pStyle w:val="Heading1"/>
      </w:pPr>
      <w:r>
        <w:rPr>
          <w:rFonts w:ascii="Arial" w:cs="Arial" w:eastAsia="Arial" w:hAnsi="Arial"/>
        </w:rPr>
        <w:t xml:space="preserve">4. Energy Market Intelligence from Adam</w:t>
      </w:r>
    </w:p>
    <w:p>
      <w:pPr>
        <w:pStyle w:val="Heading2"/>
      </w:pPr>
      <w:r>
        <w:rPr>
          <w:rFonts w:ascii="Arial" w:cs="Arial" w:eastAsia="Arial" w:hAnsi="Arial"/>
        </w:rPr>
        <w:t xml:space="preserve">4.1 Long-Term Energy Price Trajectory</w:t>
      </w:r>
    </w:p>
    <w:p>
      <w:pPr>
        <w:spacing w:after="100" w:before="0"/>
      </w:pPr>
      <w:r>
        <w:rPr>
          <w:rFonts w:ascii="Arial" w:cs="Arial" w:eastAsia="Arial" w:hAnsi="Arial"/>
          <w:sz w:val="22"/>
          <w:szCs w:val="22"/>
        </w:rPr>
        <w:t xml:space="preserve">Adam provided an unprompted and confident macro view of U.S. energy prices: they will rise structurally over the next five to ten years regardless of short-term commodity fluctuations. The primary driver is a supply-demand imbalance that cannot be resolved quickly.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single" w:color="F5C518" w:sz="12"/>
              <w:bottom w:val="none" w:color="FFFFFF" w:sz="0"/>
              <w:right w:val="none" w:color="FFFFFF" w:sz="0"/>
            </w:tcBorders>
            <w:shd w:fill="FFFFFF" w:val="clear"/>
            <w:tcMar>
              <w:top w:type="dxa" w:w="40"/>
              <w:left w:type="dxa" w:w="0"/>
              <w:bottom w:type="dxa" w:w="40"/>
              <w:right w:type="dxa" w:w="0"/>
            </w:tcMar>
          </w:tcPr>
          <w:p/>
        </w:tc>
        <w:tc>
          <w:tcPr>
            <w:tcW w:type="dxa" w:w="9120"/>
            <w:tcBorders>
              <w:top w:val="none" w:color="FFFFFF" w:sz="0"/>
              <w:left w:val="none" w:color="FFFFFF" w:sz="0"/>
              <w:bottom w:val="none" w:color="FFFFFF" w:sz="0"/>
              <w:right w:val="none" w:color="FFFFFF" w:sz="0"/>
            </w:tcBorders>
            <w:shd w:fill="FFFFFF" w:val="clear"/>
            <w:tcMar>
              <w:top w:type="dxa" w:w="40"/>
              <w:left w:type="dxa" w:w="120"/>
              <w:bottom w:type="dxa" w:w="40"/>
              <w:right w:type="dxa" w:w="120"/>
            </w:tcMar>
          </w:tcPr>
          <w:p>
            <w:pPr>
              <w:spacing w:after="0" w:before="0"/>
            </w:pPr>
            <w:r>
              <w:rPr>
                <w:rFonts w:ascii="Arial" w:cs="Arial" w:eastAsia="Arial" w:hAnsi="Arial"/>
                <w:i/>
                <w:iCs/>
                <w:color w:val="444444"/>
                <w:sz w:val="21"/>
                <w:szCs w:val="21"/>
              </w:rPr>
              <w:t xml:space="preserve">"We can't build enough supply to keep up with demand, whether that's AI data centers or just heating and cooling loads. It takes minimum five years to get a new natural gas electric power plant online."</w:t>
            </w:r>
          </w:p>
        </w:tc>
      </w:tr>
    </w:tbl>
    <w:p>
      <w:pPr>
        <w:spacing w:after="100" w:before="0"/>
      </w:pPr>
      <w:r>
        <w:rPr>
          <w:rFonts w:ascii="Arial" w:cs="Arial" w:eastAsia="Arial" w:hAnsi="Arial"/>
          <w:sz w:val="22"/>
          <w:szCs w:val="22"/>
        </w:rPr>
        <w:t xml:space="preserve">He specifically called out the upper Midwest and Northeast as regions seeing significant price increases already, and Texas as a grid reliability concern due to aging infrastructure and increasing severe weather events.</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macro framing strengthens the urgency behind Clear Current's pitch. Energy costs are going up regardless of what customers do on the efficiency side. The question is whether they can at least stop paying for energy they didn't consume. That framing — 'your costs are rising, but let's make sure every dollar you spend is actually justified' — plays directly into the anxiety these operators are experiencing.</w:t>
      </w:r>
    </w:p>
    <w:p>
      <w:pPr>
        <w:pStyle w:val="Heading2"/>
      </w:pPr>
      <w:r>
        <w:rPr>
          <w:rFonts w:ascii="Arial" w:cs="Arial" w:eastAsia="Arial" w:hAnsi="Arial"/>
        </w:rPr>
        <w:t xml:space="preserve">4.2 The Waste and Recycling Parallel</w:t>
      </w:r>
    </w:p>
    <w:p>
      <w:pPr>
        <w:spacing w:after="100" w:before="0"/>
      </w:pPr>
      <w:r>
        <w:rPr>
          <w:rFonts w:ascii="Arial" w:cs="Arial" w:eastAsia="Arial" w:hAnsi="Arial"/>
          <w:sz w:val="22"/>
          <w:szCs w:val="22"/>
        </w:rPr>
        <w:t xml:space="preserve">Adam described how ENGIE Impact helps clients like Panda shop their waste contracts in deregulated markets — getting national haulers like Republic Services or Waste Management to bid on a portfolio. He also described bin right-sizing services: finding locations where waste pickups are too frequent relative to actual fill levels and adjusting schedules to reduce cost. The savings on a per-location basis seem small, but at Panda's scale of 2,600+ locations, they add up quickly.</w:t>
      </w:r>
    </w:p>
    <w:p>
      <w:pPr>
        <w:spacing w:after="120" w:before="80"/>
      </w:pPr>
      <w:r>
        <w:rPr>
          <w:rFonts w:ascii="Arial" w:cs="Arial" w:eastAsia="Arial" w:hAnsi="Arial"/>
          <w:b/>
          <w:bCs/>
          <w:sz w:val="22"/>
          <w:szCs w:val="22"/>
        </w:rPr>
        <w:t xml:space="preserve">Implication for Clear Current: </w:t>
      </w:r>
      <w:r>
        <w:rPr>
          <w:rFonts w:ascii="Arial" w:cs="Arial" w:eastAsia="Arial" w:hAnsi="Arial"/>
          <w:sz w:val="22"/>
          <w:szCs w:val="22"/>
        </w:rPr>
        <w:t xml:space="preserve">This waste management use case is structurally identical to utility bill optimization: high volume, location-level variation, and chronic overpayment from default vendor relationships that nobody has time to audit. It validates the broader invoice auditing market that Marc Spieler described. The playbook Clear Current is running on energy bills could eventually extend to waste and recycling bills at the same multi-site operators.</w:t>
      </w:r>
    </w:p>
    <w:p>
      <w:pPr>
        <w:pStyle w:val="Heading1"/>
      </w:pPr>
      <w:r>
        <w:rPr>
          <w:rFonts w:ascii="Arial" w:cs="Arial" w:eastAsia="Arial" w:hAnsi="Arial"/>
        </w:rPr>
        <w:t xml:space="preserve">5. Strategic Recommendations for Dan &amp; John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1: Pursue a Partnership or Licensing Conversation with ENGIE Impact</w:t>
            </w:r>
          </w:p>
          <w:p>
            <w:pPr>
              <w:spacing w:after="0" w:before="0"/>
            </w:pPr>
            <w:r>
              <w:rPr>
                <w:rFonts w:ascii="Arial" w:cs="Arial" w:eastAsia="Arial" w:hAnsi="Arial"/>
                <w:sz w:val="21"/>
                <w:szCs w:val="21"/>
              </w:rPr>
              <w:t xml:space="preserve">ENGIE Impact has the client data; Clear Current has the AI intelligence layer. Adam's framing of the competitive landscape makes clear that new entrants need a data strategy, not just a product strategy. A conversation about embedding Clear Current's anomaly detection and tariff analysis capabilities within ENGIE Impact's existing client portal could create a channel partnership that bypasses the cold-start problem for Clear Current in the large QSR and retail segment.</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2: Frame the Competitive Pitch Around Pattern Detection, Not Just Spike Alerts</w:t>
            </w:r>
          </w:p>
          <w:p>
            <w:pPr>
              <w:spacing w:after="0" w:before="0"/>
            </w:pPr>
            <w:r>
              <w:rPr>
                <w:rFonts w:ascii="Arial" w:cs="Arial" w:eastAsia="Arial" w:hAnsi="Arial"/>
                <w:sz w:val="21"/>
                <w:szCs w:val="21"/>
              </w:rPr>
              <w:t xml:space="preserve">ENGIE Impact's current system is threshold-based — it catches spikes but misses baseline drift. This is exactly the gap Roger Goldstein described when Panda paid a neighbor's electricity bill for an entire year. Clear Current's pitch to managed services clients and their enterprise customers should lead with 'we find what your current system can't' — the slow-burn errors that look normal until someone notices the baseline has quietly shifted upward.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3: Address the Municipality / Paper Bill Challenge as a Differentiator</w:t>
            </w:r>
          </w:p>
          <w:p>
            <w:pPr>
              <w:spacing w:after="0" w:before="0"/>
            </w:pPr>
            <w:r>
              <w:rPr>
                <w:rFonts w:ascii="Arial" w:cs="Arial" w:eastAsia="Arial" w:hAnsi="Arial"/>
                <w:sz w:val="21"/>
                <w:szCs w:val="21"/>
              </w:rPr>
              <w:t xml:space="preserve">Adam identified small-municipality water and sewer bills as the persistent data intake bottleneck — inconsistent formats, paper delivery, manual entry. If Clear Current can demonstrate that its AI can reliably extract data from varied paper bill formats without a manual keying step, that is a direct operational cost savings pitch for any outsourced bill processor considering Clear Current as a technology partner.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4"/>
              <w:left w:val="single" w:color="0A1628" w:sz="4"/>
              <w:bottom w:val="single" w:color="0A1628" w:sz="4"/>
              <w:right w:val="single" w:color="0A1628" w:sz="4"/>
            </w:tcBorders>
            <w:shd w:fill="EBF0F8" w:val="clear"/>
            <w:tcMar>
              <w:top w:type="dxa" w:w="120"/>
              <w:left w:type="dxa" w:w="160"/>
              <w:bottom w:type="dxa" w:w="120"/>
              <w:right w:type="dxa" w:w="160"/>
            </w:tcMar>
          </w:tcPr>
          <w:p>
            <w:pPr>
              <w:spacing w:after="40" w:before="0"/>
            </w:pPr>
            <w:r>
              <w:rPr>
                <w:rFonts w:ascii="Arial" w:cs="Arial" w:eastAsia="Arial" w:hAnsi="Arial"/>
                <w:b/>
                <w:bCs/>
                <w:color w:val="0A1628"/>
                <w:sz w:val="21"/>
                <w:szCs w:val="21"/>
              </w:rPr>
              <w:t xml:space="preserve">Recommendation 4: Use the Rising Energy Cost Macro in Sales Messaging</w:t>
            </w:r>
          </w:p>
          <w:p>
            <w:pPr>
              <w:spacing w:after="0" w:before="0"/>
            </w:pPr>
            <w:r>
              <w:rPr>
                <w:rFonts w:ascii="Arial" w:cs="Arial" w:eastAsia="Arial" w:hAnsi="Arial"/>
                <w:sz w:val="21"/>
                <w:szCs w:val="21"/>
              </w:rPr>
              <w:t xml:space="preserve">Adam's candid macro view — structural energy price increases locked in for the next five to ten years regardless of supply-side developments — is a powerful opening framing for Clear Current's sales conversations. 'Your energy costs are going up regardless of what you do. The question is whether you can at least stop paying for energy you didn't consume' is a more urgent pitch than any feature comparison.</w:t>
            </w:r>
          </w:p>
        </w:tc>
      </w:tr>
    </w:tbl>
    <w:p>
      <w:pPr>
        <w:spacing w:after="160" w:before="0"/>
      </w:pPr>
    </w:p>
    <w:p>
      <w:pPr>
        <w:pBdr>
          <w:top w:val="single" w:color="F5C518" w:sz="4"/>
        </w:pBdr>
        <w:spacing w:after="0" w:before="200"/>
      </w:pPr>
    </w:p>
    <w:p>
      <w:pPr>
        <w:spacing w:after="20" w:before="80"/>
      </w:pPr>
      <w:r>
        <w:rPr>
          <w:rFonts w:ascii="Arial" w:cs="Arial" w:eastAsia="Arial" w:hAnsi="Arial"/>
          <w:b/>
          <w:bCs/>
          <w:color w:val="0A1628"/>
          <w:sz w:val="20"/>
          <w:szCs w:val="20"/>
        </w:rPr>
        <w:t xml:space="preserve">Prepared by Clayton Hester  |  CDL MBA Consulting Team</w:t>
      </w:r>
    </w:p>
    <w:p>
      <w:pPr>
        <w:spacing w:after="20" w:before="0"/>
      </w:pPr>
      <w:r>
        <w:rPr>
          <w:rFonts w:ascii="Arial" w:cs="Arial" w:eastAsia="Arial" w:hAnsi="Arial"/>
          <w:color w:val="444444"/>
          <w:sz w:val="20"/>
          <w:szCs w:val="20"/>
        </w:rPr>
        <w:t xml:space="preserve">Team: Clayton Hester, Adam Case, Jason Wisnieski, Victor Pan</w:t>
      </w:r>
    </w:p>
    <w:p>
      <w:pPr>
        <w:spacing w:after="0" w:before="0"/>
      </w:pPr>
      <w:r>
        <w:rPr>
          <w:rFonts w:ascii="Arial" w:cs="Arial" w:eastAsia="Arial" w:hAnsi="Arial"/>
          <w:color w:val="444444"/>
          <w:sz w:val="20"/>
          <w:szCs w:val="20"/>
        </w:rPr>
        <w:t xml:space="preserve">Clear Current Technologies  |  Dan Schreiber (CPO) &amp; John Reuter (CEO)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0A1628"/>
      <w:sz w:val="32"/>
      <w:szCs w:val="32"/>
    </w:rPr>
  </w:style>
  <w:style w:type="paragraph" w:styleId="Heading2">
    <w:name w:val="Heading 2"/>
    <w:basedOn w:val="Normal"/>
    <w:next w:val="Normal"/>
    <w:qFormat/>
    <w:pPr>
      <w:spacing w:after="80" w:before="200"/>
      <w:outlineLvl w:val="1"/>
    </w:pPr>
    <w:rPr>
      <w:rFonts w:ascii="Arial" w:cs="Arial" w:eastAsia="Arial" w:hAnsi="Arial"/>
      <w:b/>
      <w:bCs/>
      <w:color w:val="0A1628"/>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2026-04-14T22:27:16.562Z</dcterms:created>
  <dcterms:modified xsi:type="dcterms:W3CDTF">2026-04-14T22:27:16.563Z</dcterms:modified>
</cp:coreProperties>
</file>

<file path=docProps/custom.xml><?xml version="1.0" encoding="utf-8"?>
<Properties xmlns="http://schemas.openxmlformats.org/officeDocument/2006/custom-properties" xmlns:vt="http://schemas.openxmlformats.org/officeDocument/2006/docPropsVTypes"/>
</file>