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AdventHealth Corporate | Sustainability &amp; Energy Management</w:t>
      </w:r>
    </w:p>
    <w:p>
      <w:pPr>
        <w:spacing w:after="20" w:before="0"/>
        <w:jc w:val="center"/>
      </w:pPr>
      <w:r>
        <w:rPr>
          <w:rFonts w:ascii="Arial" w:cs="Arial" w:eastAsia="Arial" w:hAnsi="Arial"/>
          <w:color w:val="444444"/>
          <w:sz w:val="22"/>
          <w:szCs w:val="22"/>
        </w:rPr>
        <w:t xml:space="preserve">John Culver, Corporate Sustainability  &amp;  Scott Sukits, Director of Control Systems &amp; Energy Management</w:t>
      </w:r>
    </w:p>
    <w:p>
      <w:pPr>
        <w:spacing w:after="200" w:before="0"/>
        <w:jc w:val="center"/>
      </w:pPr>
      <w:r>
        <w:rPr>
          <w:rFonts w:ascii="Arial" w:cs="Arial" w:eastAsia="Arial" w:hAnsi="Arial"/>
          <w:i/>
          <w:iCs/>
          <w:color w:val="777777"/>
          <w:sz w:val="20"/>
          <w:szCs w:val="20"/>
        </w:rPr>
        <w:t xml:space="preserve">Conducted by Clayton Hester  |  April 15,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This interview was originally scheduled with Allegra Wiesler, Executive Director of Environmental Sustainability at AdventHealth Corporate, who was unavailable. In her place, two colleagues with deep operational knowledge joined: John Culver from the corporate sustainability team and Scott Sukits, Director of Control Systems and Energy Management for the Central Florida Division (9 hospitals, growing to 10 by year end). Together they provide both the system-wide strategic view and the ground-level operational reality of energy management at one of the nation's largest faith-based health systems. This is one of the most operationally direct interviews in the research program for a critical finding: AdventHealth uses ENGIE Impact for bill processing, is dissatisfied with its analytical depth, and explicitly described what they wish it could do — a near-perfect articulation of what an AI-powered billing intelligence platform should offer.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00"/>
              <w:left w:type="dxa" w:w="160"/>
              <w:bottom w:type="dxa" w:w="100"/>
              <w:right w:type="dxa" w:w="160"/>
            </w:tcMar>
          </w:tcPr>
          <w:p>
            <w:pPr>
              <w:spacing w:after="0" w:before="0"/>
            </w:pPr>
            <w:r>
              <w:rPr>
                <w:rFonts w:ascii="Arial" w:cs="Arial" w:eastAsia="Arial" w:hAnsi="Arial"/>
                <w:i/>
                <w:iCs/>
                <w:color w:val="444444"/>
                <w:sz w:val="21"/>
                <w:szCs w:val="21"/>
              </w:rPr>
              <w:t xml:space="preserve">Note on scheduled vs. actual participants: This interview was booked with Allegra Wiesler (Executive Director, Environmental Sustainability). She was unable to join. John Culver and Scott Sukits participated in her place. Their perspectives are operational and analytical — complementary to, but distinct from, the sustainability strategy lens Allegra would have brought. A follow-up interview with Allegra is recommended.</w:t>
            </w:r>
          </w:p>
        </w:tc>
      </w:tr>
    </w:tbl>
    <w:p>
      <w:pPr>
        <w:spacing w:after="160" w:before="0"/>
      </w:pPr>
    </w:p>
    <w:p>
      <w:pPr>
        <w:pStyle w:val="Heading1"/>
      </w:pPr>
      <w:r>
        <w:rPr>
          <w:rFonts w:ascii="Arial" w:cs="Arial" w:eastAsia="Arial" w:hAnsi="Arial"/>
        </w:rPr>
        <w:t xml:space="preserve">1. Interviewee Profiles</w:t>
      </w:r>
    </w:p>
    <w:p>
      <w:pPr>
        <w:pStyle w:val="Heading2"/>
      </w:pPr>
      <w:r>
        <w:rPr>
          <w:rFonts w:ascii="Arial" w:cs="Arial" w:eastAsia="Arial" w:hAnsi="Arial"/>
        </w:rPr>
        <w:t xml:space="preserve">John Culver — Corporate Sustainability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John Culver</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Corporate Sustainability (Energy and Resource Management)</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AdventHealth Corporate, Altamonte Springs, FL</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Tenure at AdventHealth</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~3 years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Scope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System-wide sustainability strategy; energy consumption tracking; portfolio-level analysis across all 55 hospitals in 9 states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Role in Interview</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Provided the system-level strategic view: how AdventHealth thinks about energy data, the limitations of ENGIE Impact, and what they wish their tools could do</w:t>
            </w:r>
          </w:p>
        </w:tc>
      </w:tr>
    </w:tbl>
    <w:p>
      <w:pPr>
        <w:spacing w:after="80" w:before="0"/>
      </w:pPr>
    </w:p>
    <w:p>
      <w:pPr>
        <w:pStyle w:val="Heading2"/>
      </w:pPr>
      <w:r>
        <w:rPr>
          <w:rFonts w:ascii="Arial" w:cs="Arial" w:eastAsia="Arial" w:hAnsi="Arial"/>
        </w:rPr>
        <w:t xml:space="preserve">Scott Sukits — Director of Control Systems &amp; Energy Management, Central Florida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Scott Sukits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Director of Control Systems and Energy Management, Central Florida Division</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AdventHealth Central Florida Division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Division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9 hospitals (growing to 10 by end of 2026) plus off-site EDs and property management buildings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Energy Team</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3 energy managers (up from 2 at hire)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Additional Role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Also serves as Facility Director for AdventHealth East Orlando — split role</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Consulting Engineer for 20 years before joining AdventHealth; now on the facility operations side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Role in Interview</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Provided the building operations and controls perspective: BAS optimization, AI adoption barriers, cybersecurity constraints, and what automation would save the most time</w:t>
            </w:r>
          </w:p>
        </w:tc>
      </w:tr>
    </w:tbl>
    <w:p>
      <w:pPr>
        <w:spacing w:after="80" w:before="0"/>
      </w:pPr>
    </w:p>
    <w:p>
      <w:pPr>
        <w:spacing w:after="100" w:before="0"/>
      </w:pPr>
      <w:r>
        <w:rPr>
          <w:rFonts w:ascii="Arial" w:cs="Arial" w:eastAsia="Arial" w:hAnsi="Arial"/>
          <w:sz w:val="22"/>
          <w:szCs w:val="22"/>
        </w:rPr>
        <w:t xml:space="preserve">Scott was hired specifically to bring energy management expertise to a division that previously lacked it. His prior 20 years as a consulting engineer give him an unusual dual perspective — he designed the systems that facilities teams now struggle to operate, and he now lives on the facilities side experiencing exactly those challenges firsthand.</w:t>
      </w:r>
    </w:p>
    <w:p>
      <w:pPr>
        <w:pStyle w:val="Heading1"/>
      </w:pPr>
      <w:r>
        <w:rPr>
          <w:rFonts w:ascii="Arial" w:cs="Arial" w:eastAsia="Arial" w:hAnsi="Arial"/>
        </w:rPr>
        <w:t xml:space="preserve">2. AdventHealth — Energy Operations Overview</w:t>
      </w:r>
    </w:p>
    <w:p>
      <w:pPr>
        <w:pStyle w:val="ListParagraph"/>
        <w:numPr>
          <w:ilvl w:val="0"/>
          <w:numId w:val="2"/>
        </w:numPr>
        <w:spacing w:after="40" w:before="40"/>
      </w:pPr>
      <w:r>
        <w:rPr>
          <w:rFonts w:ascii="Arial" w:cs="Arial" w:eastAsia="Arial" w:hAnsi="Arial"/>
          <w:sz w:val="22"/>
          <w:szCs w:val="22"/>
        </w:rPr>
        <w:t xml:space="preserve">55 hospitals across 9 states; Central Florida Division alone covers 9 hospitals (soon 10) plus property management buildings</w:t>
      </w:r>
    </w:p>
    <w:p>
      <w:pPr>
        <w:pStyle w:val="ListParagraph"/>
        <w:numPr>
          <w:ilvl w:val="0"/>
          <w:numId w:val="2"/>
        </w:numPr>
        <w:spacing w:after="40" w:before="40"/>
      </w:pPr>
      <w:r>
        <w:rPr>
          <w:rFonts w:ascii="Arial" w:cs="Arial" w:eastAsia="Arial" w:hAnsi="Arial"/>
          <w:sz w:val="22"/>
          <w:szCs w:val="22"/>
        </w:rPr>
        <w:t xml:space="preserve">1,000–2,000 utility bills processed per day system-wide across electricity, gas, water, and telecom</w:t>
      </w:r>
    </w:p>
    <w:p>
      <w:pPr>
        <w:pStyle w:val="ListParagraph"/>
        <w:numPr>
          <w:ilvl w:val="0"/>
          <w:numId w:val="2"/>
        </w:numPr>
        <w:spacing w:after="40" w:before="40"/>
      </w:pPr>
      <w:r>
        <w:rPr>
          <w:rFonts w:ascii="Arial" w:cs="Arial" w:eastAsia="Arial" w:hAnsi="Arial"/>
          <w:sz w:val="22"/>
          <w:szCs w:val="22"/>
        </w:rPr>
        <w:t xml:space="preserve">73 different electric utility providers across 9 states — each with different bill formats, rate structures, and terminology</w:t>
      </w:r>
    </w:p>
    <w:p>
      <w:pPr>
        <w:pStyle w:val="ListParagraph"/>
        <w:numPr>
          <w:ilvl w:val="0"/>
          <w:numId w:val="2"/>
        </w:numPr>
        <w:spacing w:after="40" w:before="40"/>
      </w:pPr>
      <w:r>
        <w:rPr>
          <w:rFonts w:ascii="Arial" w:cs="Arial" w:eastAsia="Arial" w:hAnsi="Arial"/>
          <w:sz w:val="22"/>
          <w:szCs w:val="22"/>
        </w:rPr>
        <w:t xml:space="preserve">Third-party bill processor: ENGIE Impact (NG) — used primarily for bill payment, not analytics</w:t>
      </w:r>
    </w:p>
    <w:p>
      <w:pPr>
        <w:pStyle w:val="ListParagraph"/>
        <w:numPr>
          <w:ilvl w:val="0"/>
          <w:numId w:val="2"/>
        </w:numPr>
        <w:spacing w:after="40" w:before="40"/>
      </w:pPr>
      <w:r>
        <w:rPr>
          <w:rFonts w:ascii="Arial" w:cs="Arial" w:eastAsia="Arial" w:hAnsi="Arial"/>
          <w:sz w:val="22"/>
          <w:szCs w:val="22"/>
        </w:rPr>
        <w:t xml:space="preserve">BAS (Building Automation System): primarily Trane in Central Florida, plus some Siemens and Johnson Controls; JCI specialist on-site in Orlando</w:t>
      </w:r>
    </w:p>
    <w:p>
      <w:pPr>
        <w:pStyle w:val="ListParagraph"/>
        <w:numPr>
          <w:ilvl w:val="0"/>
          <w:numId w:val="2"/>
        </w:numPr>
        <w:spacing w:after="40" w:before="40"/>
      </w:pPr>
      <w:r>
        <w:rPr>
          <w:rFonts w:ascii="Arial" w:cs="Arial" w:eastAsia="Arial" w:hAnsi="Arial"/>
          <w:sz w:val="22"/>
          <w:szCs w:val="22"/>
        </w:rPr>
        <w:t xml:space="preserve">AI adoption at building operations level: machine learning pilots underway; full AI (BrainBox AI via Trane partnership) stuck in IT/cybersecurity approval for 2.5+ years</w:t>
      </w:r>
    </w:p>
    <w:p>
      <w:pPr>
        <w:pStyle w:val="ListParagraph"/>
        <w:numPr>
          <w:ilvl w:val="0"/>
          <w:numId w:val="2"/>
        </w:numPr>
        <w:spacing w:after="40" w:before="40"/>
      </w:pPr>
      <w:r>
        <w:rPr>
          <w:rFonts w:ascii="Arial" w:cs="Arial" w:eastAsia="Arial" w:hAnsi="Arial"/>
          <w:sz w:val="22"/>
          <w:szCs w:val="22"/>
        </w:rPr>
        <w:t xml:space="preserve">Natural gas hedging handled by a separate company on a rolling basis — currently under strategic review</w:t>
      </w:r>
    </w:p>
    <w:p>
      <w:pPr>
        <w:pStyle w:val="ListParagraph"/>
        <w:numPr>
          <w:ilvl w:val="0"/>
          <w:numId w:val="2"/>
        </w:numPr>
        <w:spacing w:after="40" w:before="40"/>
      </w:pPr>
      <w:r>
        <w:rPr>
          <w:rFonts w:ascii="Arial" w:cs="Arial" w:eastAsia="Arial" w:hAnsi="Arial"/>
          <w:sz w:val="22"/>
          <w:szCs w:val="22"/>
        </w:rPr>
        <w:t xml:space="preserve">Sustainability targets: 50% Scope 1 and 2 emissions reduction by 2030; net-zero by 2050; on track for 100% renewable electricity by 2026 via VPPAs and on-site solar</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The #1 Automation Wish: Bills Matching Addresses</w:t>
      </w:r>
    </w:p>
    <w:p>
      <w:pPr>
        <w:spacing w:after="100" w:before="0"/>
      </w:pPr>
      <w:r>
        <w:rPr>
          <w:rFonts w:ascii="Arial" w:cs="Arial" w:eastAsia="Arial" w:hAnsi="Arial"/>
          <w:sz w:val="22"/>
          <w:szCs w:val="22"/>
        </w:rPr>
        <w:t xml:space="preserve">When asked what one task they would automate immediately, John Culver's answer was immediate and surprisingly foundational — not an analytics feature, not a dashboard, but basic data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"It would be that the bills and the therms, deca therms, CCF, KWH, whatever, match the addresses of our sites every time. Which sounds basic, but again, with an organization this size and that grows, matching — hey, that electron or that piece of gas went into that site on this date, and I'm 100% positive of that fact — is foundational. You can't move forward if you don't know that information."</w:t>
            </w:r>
          </w:p>
        </w:tc>
      </w:tr>
    </w:tbl>
    <w:p>
      <w:pPr>
        <w:spacing w:after="100" w:before="0"/>
      </w:pPr>
      <w:r>
        <w:rPr>
          <w:rFonts w:ascii="Arial" w:cs="Arial" w:eastAsia="Arial" w:hAnsi="Arial"/>
          <w:sz w:val="22"/>
          <w:szCs w:val="22"/>
        </w:rPr>
        <w:t xml:space="preserve">He described a specific recurring problem: consumption occurs at one address but the bill is paid somewhere else. ENGIE Impact sometimes catches this split, sometimes doesn't — it depends on what the utility company sends. Mergers, acquisitions, new builds, and divestments constantly change the portfolio, and keeping billing addresses in sync with physical locations is a continuous, imperfect process.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'ghost meter' problem from the supply side. It is not just about catching inactive meters — it is about ensuring every dollar of energy consumption is correctly attributed to the right physical location. For a 55-hospital system in active M&amp;A mode, this is not a one-time cleanup project; it is an ongoing, structural data integrity challenge. Clear Current's platform should explicitly position meter-to-address reconciliation as a core feature, not an edge case.</w:t>
      </w:r>
    </w:p>
    <w:p>
      <w:pPr>
        <w:pStyle w:val="Heading2"/>
      </w:pPr>
      <w:r>
        <w:rPr>
          <w:rFonts w:ascii="Arial" w:cs="Arial" w:eastAsia="Arial" w:hAnsi="Arial"/>
        </w:rPr>
        <w:t xml:space="preserve">3.2 Scott's Automation Wish: Meter Data Automatically on 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 data input from the meters, if that just automatically populated to a dashboard that you could see trend data, which would be amazing. John has a team that enters information from the utility providers into portfolio management. That gives a pretty good outlook, but it would be nice to see all that come in, go on a chart, and then you could quickly see if you had a dashboard up if something's wrong."</w:t>
            </w:r>
          </w:p>
        </w:tc>
      </w:tr>
    </w:tbl>
    <w:p>
      <w:pPr>
        <w:spacing w:after="100" w:before="0"/>
      </w:pPr>
      <w:r>
        <w:rPr>
          <w:rFonts w:ascii="Arial" w:cs="Arial" w:eastAsia="Arial" w:hAnsi="Arial"/>
          <w:sz w:val="22"/>
          <w:szCs w:val="22"/>
        </w:rPr>
        <w:t xml:space="preserve">Scott's team currently has someone manually entering utility data into a portfolio management system. The ideal — automatic ingestion, automatic visualization, automatic anomaly flagging — is not yet real for them. The gap between what they have and what they want is not sophisticated AI; it is reliable, automated data pipelines.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Both John's and Scott's automation wishes point to the same root problem: data ingestion and attribution are still partially manual. The market is not asking for another analytics layer on top of bad data. It is asking for a platform that solves the data quality problem first and then delivers analytics on clean data. Clear Current's pitch in healthcare should lead with data integrity, not AI sophistication.</w:t>
      </w:r>
    </w:p>
    <w:p>
      <w:pPr>
        <w:pStyle w:val="Heading2"/>
      </w:pPr>
      <w:r>
        <w:rPr>
          <w:rFonts w:ascii="Arial" w:cs="Arial" w:eastAsia="Arial" w:hAnsi="Arial"/>
        </w:rPr>
        <w:t xml:space="preserve">3.3 ENGIE Impact Gap: Analytical Depth vs. Bill Payment</w:t>
      </w:r>
    </w:p>
    <w:p>
      <w:pPr>
        <w:spacing w:after="100" w:before="0"/>
      </w:pPr>
      <w:r>
        <w:rPr>
          <w:rFonts w:ascii="Arial" w:cs="Arial" w:eastAsia="Arial" w:hAnsi="Arial"/>
          <w:sz w:val="22"/>
          <w:szCs w:val="22"/>
        </w:rPr>
        <w:t xml:space="preserve">AdventHealth has been using ENGIE Impact (NG) for utility bill payment for years. John was direct about what they get versus what they wish they had.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 use them for paying those thousand bills every day, and they do a great job of that. We didn't sign on with NG ages ago because of energy management needs. It was bill pay needs. And so they do what we pay them for very well."</w:t>
            </w:r>
          </w:p>
        </w:tc>
      </w:tr>
    </w:tbl>
    <w:p>
      <w:pPr>
        <w:spacing w:after="100" w:before="0"/>
      </w:pPr>
      <w:r>
        <w:rPr>
          <w:rFonts w:ascii="Arial" w:cs="Arial" w:eastAsia="Arial" w:hAnsi="Arial"/>
          <w:sz w:val="22"/>
          <w:szCs w:val="22"/>
        </w:rPr>
        <w:t xml:space="preserve">But when asked what he wishes ENGIE would do differently, three specific gaps emerged:</w:t>
      </w:r>
    </w:p>
    <w:p>
      <w:pPr>
        <w:pStyle w:val="ListParagraph"/>
        <w:numPr>
          <w:ilvl w:val="0"/>
          <w:numId w:val="2"/>
        </w:numPr>
        <w:spacing w:after="40" w:before="40"/>
      </w:pPr>
      <w:r>
        <w:rPr>
          <w:rFonts w:ascii="Arial" w:cs="Arial" w:eastAsia="Arial" w:hAnsi="Arial"/>
          <w:b/>
          <w:bCs/>
          <w:sz w:val="22"/>
          <w:szCs w:val="22"/>
        </w:rPr>
        <w:t xml:space="preserve">Tax exemption verification: </w:t>
      </w:r>
      <w:r>
        <w:rPr>
          <w:rFonts w:ascii="Arial" w:cs="Arial" w:eastAsia="Arial" w:hAnsi="Arial"/>
          <w:sz w:val="22"/>
          <w:szCs w:val="22"/>
        </w:rPr>
        <w:t xml:space="preserve">As a non-profit, AdventHealth should not pay taxes on utility bills. Ensuring this is consistently applied across 73 utility providers and 55 hospitals is a gap that costs real money.</w:t>
      </w:r>
    </w:p>
    <w:p>
      <w:pPr>
        <w:pStyle w:val="ListParagraph"/>
        <w:numPr>
          <w:ilvl w:val="0"/>
          <w:numId w:val="2"/>
        </w:numPr>
        <w:spacing w:after="40" w:before="40"/>
      </w:pPr>
      <w:r>
        <w:rPr>
          <w:rFonts w:ascii="Arial" w:cs="Arial" w:eastAsia="Arial" w:hAnsi="Arial"/>
          <w:b/>
          <w:bCs/>
          <w:sz w:val="22"/>
          <w:szCs w:val="22"/>
        </w:rPr>
        <w:t xml:space="preserve">Portfolio change management: </w:t>
      </w:r>
      <w:r>
        <w:rPr>
          <w:rFonts w:ascii="Arial" w:cs="Arial" w:eastAsia="Arial" w:hAnsi="Arial"/>
          <w:sz w:val="22"/>
          <w:szCs w:val="22"/>
        </w:rPr>
        <w:t xml:space="preserve">New sites from acquisitions and divestitures need to be added or removed from analytics quickly. Currently, this is slow and manual.</w:t>
      </w:r>
    </w:p>
    <w:p>
      <w:pPr>
        <w:pStyle w:val="ListParagraph"/>
        <w:numPr>
          <w:ilvl w:val="0"/>
          <w:numId w:val="2"/>
        </w:numPr>
        <w:spacing w:after="40" w:before="40"/>
      </w:pPr>
      <w:r>
        <w:rPr>
          <w:rFonts w:ascii="Arial" w:cs="Arial" w:eastAsia="Arial" w:hAnsi="Arial"/>
          <w:b/>
          <w:bCs/>
          <w:sz w:val="22"/>
          <w:szCs w:val="22"/>
        </w:rPr>
        <w:t xml:space="preserve">Intelligent bill interpretation: </w:t>
      </w:r>
      <w:r>
        <w:rPr>
          <w:rFonts w:ascii="Arial" w:cs="Arial" w:eastAsia="Arial" w:hAnsi="Arial"/>
          <w:sz w:val="22"/>
          <w:szCs w:val="22"/>
        </w:rPr>
        <w:t xml:space="preserve">ENGIE aggregates bills and pays them, but does not explain the rate structures. With terminology ranging from on-peak, off-peak, discounted off-peak, super off-peak, and extreme on-peak, the bills are incomprehensible without expert interpretation — and ENGIE does not provide that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"NG just aggregates those and pays the bottom line dollar. But it being a little bit smarter and knowing how to interpret what's on the bills and not just interpret, but tell us why we should care and what we can do to change it, would be great."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clearest direct statement of Clear Current's value proposition from any interview in the entire research program. John Culver described, unprompted and in his own words, exactly what Clear Current does: interpret what's on the bills and tell you why you should care and what you can do to change it. This quote should be in the final presentation.</w:t>
      </w:r>
    </w:p>
    <w:p>
      <w:pPr>
        <w:pStyle w:val="Heading2"/>
      </w:pPr>
      <w:r>
        <w:rPr>
          <w:rFonts w:ascii="Arial" w:cs="Arial" w:eastAsia="Arial" w:hAnsi="Arial"/>
        </w:rPr>
        <w:t xml:space="preserve">3.4 AdventHealth Wants to Be the Expert, Not Just the Client</w:t>
      </w:r>
    </w:p>
    <w:p>
      <w:pPr>
        <w:spacing w:after="100" w:before="0"/>
      </w:pPr>
      <w:r>
        <w:rPr>
          <w:rFonts w:ascii="Arial" w:cs="Arial" w:eastAsia="Arial" w:hAnsi="Arial"/>
          <w:sz w:val="22"/>
          <w:szCs w:val="22"/>
        </w:rPr>
        <w:t xml:space="preserve">A key strategic nuance emerged: AdventHealth is not content to outsource energy intelligence to ENGIE. They want to develop internal expertise so they can respond faster and measure their own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"AdventHealth is interested in being experts itself, so that we can triage it our own way for our own needs and then more rapidly measure the benefit after we do some sort of change on site. Like we want to be able to adjust the set point and then tomorrow check and see, okay, did that do what we thought it did? Versus waiting for a monthly bill."</w:t>
            </w:r>
          </w:p>
        </w:tc>
      </w:tr>
    </w:tbl>
    <w:p>
      <w:pPr>
        <w:spacing w:after="100" w:before="0"/>
      </w:pPr>
      <w:r>
        <w:rPr>
          <w:rFonts w:ascii="Arial" w:cs="Arial" w:eastAsia="Arial" w:hAnsi="Arial"/>
          <w:sz w:val="22"/>
          <w:szCs w:val="22"/>
        </w:rPr>
        <w:t xml:space="preserve">The monthly billing cycle is too slow for real-time operational decisions. John wants hourly or daily data — not the once-a-month snapshot ENGIE provides from utility bills.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validates two product directions simultaneously. First, the near-real-time monitoring layer (AMI/interval data ingestion) is not just a nice-to-have — it is what sophisticated buyers like AdventHealth are explicitly asking for. Second, a platform that gives the internal team the tools to be their own experts is more appealing than one that positions itself as a replacement for their judgment. Clear Current should position as an intelligence platform that empowers the internal team, not another vendor they depend on.</w:t>
      </w:r>
    </w:p>
    <w:p>
      <w:pPr>
        <w:pStyle w:val="Heading2"/>
      </w:pPr>
      <w:r>
        <w:rPr>
          <w:rFonts w:ascii="Arial" w:cs="Arial" w:eastAsia="Arial" w:hAnsi="Arial"/>
        </w:rPr>
        <w:t xml:space="preserve">3.5 Cybersecurity Is the Single Biggest AI Adoption Barrier</w:t>
      </w:r>
    </w:p>
    <w:p>
      <w:pPr>
        <w:spacing w:after="100" w:before="0"/>
      </w:pPr>
      <w:r>
        <w:rPr>
          <w:rFonts w:ascii="Arial" w:cs="Arial" w:eastAsia="Arial" w:hAnsi="Arial"/>
          <w:sz w:val="22"/>
          <w:szCs w:val="22"/>
        </w:rPr>
        <w:t xml:space="preserve">Scott's team has been trying to implement BrainBox AI (Trane's AI building optimization platform) at a medical office building for 2.5 years. The blocker is not budget, not technology, not interest — it is IT and cybersecurity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"I've been trying to implement it at a medical office building for 2 and a half years now. And I've been working with our IT folks for that long to try to get it pushed through. And it's just question after questionnaire after questionnaire before they'll even consider approving it."</w:t>
            </w:r>
          </w:p>
        </w:tc>
      </w:tr>
    </w:tbl>
    <w:p>
      <w:pPr>
        <w:spacing w:after="100" w:before="0"/>
      </w:pPr>
      <w:r>
        <w:rPr>
          <w:rFonts w:ascii="Arial" w:cs="Arial" w:eastAsia="Arial" w:hAnsi="Arial"/>
          <w:sz w:val="22"/>
          <w:szCs w:val="22"/>
        </w:rPr>
        <w:t xml:space="preserve">The underlying concern is HIPAA: any system that creates a tunnel into the building controls network could theoretically be used to access patient data. The Johnson Controls hack accelerated these concerns dramatically.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"Johnson Controls was hacked... and because that name was hacked, everything changed overnight. We went from being able to see our control dashboards to stuff just disappearing on our own dashboards in-house."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finding directly validates Phil Combs' warning from the Trane interview: IT is the gate, not the energy manager. For a billing intelligence platform like Clear Current, the cybersecurity barrier is lower than for a BAS-integrated AI system (Clear Current reads bills, not building controls networks), but SOC 2 compliance, data handling documentation, and a clear answer to 'who can see our data' are still required before any enterprise healthcare conversation. The pitch must explicitly separate Clear Current from the BrainBox/BAS category — 'we read your utility bills, not your building systems' is a meaningful differentiator.</w:t>
      </w:r>
    </w:p>
    <w:p>
      <w:pPr>
        <w:pStyle w:val="Heading2"/>
      </w:pPr>
      <w:r>
        <w:rPr>
          <w:rFonts w:ascii="Arial" w:cs="Arial" w:eastAsia="Arial" w:hAnsi="Arial"/>
        </w:rPr>
        <w:t xml:space="preserve">3.6 Garbage In, Garbage Out — AI Requires Foundation First</w:t>
      </w:r>
    </w:p>
    <w:p>
      <w:pPr>
        <w:spacing w:after="100" w:before="0"/>
      </w:pPr>
      <w:r>
        <w:rPr>
          <w:rFonts w:ascii="Arial" w:cs="Arial" w:eastAsia="Arial" w:hAnsi="Arial"/>
          <w:sz w:val="22"/>
          <w:szCs w:val="22"/>
        </w:rPr>
        <w:t xml:space="preserve">Both John and Scott were skeptical of AI as a solution layered on top of existing broken data infrastructure. John articulated this most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"Suppliers will make it sound like you can just layer it on top of your existing systems and it's fine. What we are finding is that is not the case. AI integration needs to be closer to the foundation because it changes so many things."</w:t>
            </w:r>
          </w:p>
        </w:tc>
      </w:tr>
    </w:tbl>
    <w:p>
      <w:pPr>
        <w:spacing w:after="100" w:before="0"/>
      </w:pPr>
      <w:r>
        <w:rPr>
          <w:rFonts w:ascii="Arial" w:cs="Arial" w:eastAsia="Arial" w:hAnsi="Arial"/>
          <w:sz w:val="22"/>
          <w:szCs w:val="22"/>
        </w:rPr>
        <w:t xml:space="preserve">Scott gave a vivid example: a sensor reporting a value because a physical wrench is holding a damper open. The AI reads the sensor data and says everything is fine. The AI cannot know the wrench is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"AI is good, but it's only as good as what it's told."</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not skepticism about AI per se — it is skepticism about AI as a shortcut. Both interviewees believe in AI's potential for trend spotting, anomaly detection, and root cause acceleration. But they have seen vendors oversell the 'just layer it on top' approach and fail. Clear Current's pitch to AdventHealth should acknowledge this directly: 'We start with data quality. Before we give you AI analytics, we make sure the data we're analyzing is right.' That credibility signal matters more to this buyer than any feature comparison.</w:t>
      </w:r>
    </w:p>
    <w:p>
      <w:pPr>
        <w:pStyle w:val="Heading2"/>
      </w:pPr>
      <w:r>
        <w:rPr>
          <w:rFonts w:ascii="Arial" w:cs="Arial" w:eastAsia="Arial" w:hAnsi="Arial"/>
        </w:rPr>
        <w:t xml:space="preserve">3.7 The Capital Budgeting Problem — Data Must Arrive Before the Cycle</w:t>
      </w:r>
    </w:p>
    <w:p>
      <w:pPr>
        <w:spacing w:after="100" w:before="0"/>
      </w:pPr>
      <w:r>
        <w:rPr>
          <w:rFonts w:ascii="Arial" w:cs="Arial" w:eastAsia="Arial" w:hAnsi="Arial"/>
          <w:sz w:val="22"/>
          <w:szCs w:val="22"/>
        </w:rPr>
        <w:t xml:space="preserve">John described a structural timing problem that maps directly to the energy management calendar: capital improvement requests for energy projects must be submitted before the hospital's budgeting cycle, which requires having the energy data and operational ROI case assembled well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"Having that information at hand and in time is crucial. In every company, there's a competition for capital. Facilities is less fun and less in your face... it's one of those, if it's working well, you don't notice until it fails. And so we have the job of trying to not be the boys who cried wolf, but say: here's what we suggest we do, and here's the benefits to doing so beyond just avoiding a catastrophe."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internal champion problem described by Phil Combs, but from inside the organization. The energy team at AdventHealth must build a financial and operational case — not just an engineering case — to compete for capital against clinical priorities. A platform that automatically generates that case (energy trend data + anomaly history + projected ROI from rate optimization) is what gets a $1M capital improvement request approved, not just identified.</w:t>
      </w:r>
    </w:p>
    <w:p>
      <w:pPr>
        <w:pStyle w:val="Heading2"/>
      </w:pPr>
      <w:r>
        <w:rPr>
          <w:rFonts w:ascii="Arial" w:cs="Arial" w:eastAsia="Arial" w:hAnsi="Arial"/>
        </w:rPr>
        <w:t xml:space="preserve">3.8 Florida Climate — No Seasonal Cycle, Humidity Is the Real Variable</w:t>
      </w:r>
    </w:p>
    <w:p>
      <w:pPr>
        <w:spacing w:after="100" w:before="0"/>
      </w:pPr>
      <w:r>
        <w:rPr>
          <w:rFonts w:ascii="Arial" w:cs="Arial" w:eastAsia="Arial" w:hAnsi="Arial"/>
          <w:sz w:val="22"/>
          <w:szCs w:val="22"/>
        </w:rPr>
        <w:t xml:space="preserve">Scott provided important geographic context for energy management in Central Florida: because the climate is warm year-round, traditional seasonal patterns (heat in winter, cool in summer) do not apply. The primary operational challenge is maintaining temperature and humidity within clinical compliance ranges regardless of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"In Florida, the reason we don't care about seasons all that much, we don't worry about heat too often. Our primary goal is to make sure we maintain temperature and humidity within critical spaces."</w:t>
            </w:r>
          </w:p>
        </w:tc>
      </w:tr>
    </w:tbl>
    <w:p>
      <w:pPr>
        <w:spacing w:after="100" w:before="0"/>
      </w:pPr>
      <w:r>
        <w:rPr>
          <w:rFonts w:ascii="Arial" w:cs="Arial" w:eastAsia="Arial" w:hAnsi="Arial"/>
          <w:sz w:val="22"/>
          <w:szCs w:val="22"/>
        </w:rPr>
        <w:t xml:space="preserve">Scott described an enthalpy-based control approach that continuously modulates discharge air temperature based on actual space conditions — effectively a manual implementation of what AI control loops are designed to do automatically.</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For the Seasonal Energy Management Calendar deliverable, AdventHealth's Florida hospitals are an outlier from the standard heating/cooling cycle. Their calendar is driven by regulatory compliance cycles (ENERGY STAR reporting, Joint Commission), capital budgeting timelines, and continuous HVAC compliance management — not seasonal peaks. This is worth noting in the calendar as a Southern/warm-climate variant.</w:t>
      </w:r>
    </w:p>
    <w:p>
      <w:pPr>
        <w:pStyle w:val="Heading1"/>
      </w:pPr>
      <w:r>
        <w:rPr>
          <w:rFonts w:ascii="Arial" w:cs="Arial" w:eastAsia="Arial" w:hAnsi="Arial"/>
        </w:rPr>
        <w:t xml:space="preserve">4. Additional Context: AdventHealth's Broader Energy Strategy</w:t>
      </w:r>
    </w:p>
    <w:p>
      <w:pPr>
        <w:spacing w:after="100" w:before="0"/>
      </w:pPr>
      <w:r>
        <w:rPr>
          <w:rFonts w:ascii="Arial" w:cs="Arial" w:eastAsia="Arial" w:hAnsi="Arial"/>
          <w:sz w:val="22"/>
          <w:szCs w:val="22"/>
        </w:rPr>
        <w:t xml:space="preserve">Context from public sources that informed the interview framing:</w:t>
      </w:r>
    </w:p>
    <w:p>
      <w:pPr>
        <w:pStyle w:val="ListParagraph"/>
        <w:numPr>
          <w:ilvl w:val="0"/>
          <w:numId w:val="2"/>
        </w:numPr>
        <w:spacing w:after="40" w:before="40"/>
      </w:pPr>
      <w:r>
        <w:rPr>
          <w:rFonts w:ascii="Arial" w:cs="Arial" w:eastAsia="Arial" w:hAnsi="Arial"/>
          <w:sz w:val="22"/>
          <w:szCs w:val="22"/>
        </w:rPr>
        <w:t xml:space="preserve">Signed the HHS Health Sector Climate Pledge; targeting 50% Scope 1 and 2 emissions reduction by 2030 and net-zero by 2050</w:t>
      </w:r>
    </w:p>
    <w:p>
      <w:pPr>
        <w:pStyle w:val="ListParagraph"/>
        <w:numPr>
          <w:ilvl w:val="0"/>
          <w:numId w:val="2"/>
        </w:numPr>
        <w:spacing w:after="40" w:before="40"/>
      </w:pPr>
      <w:r>
        <w:rPr>
          <w:rFonts w:ascii="Arial" w:cs="Arial" w:eastAsia="Arial" w:hAnsi="Arial"/>
          <w:sz w:val="22"/>
          <w:szCs w:val="22"/>
        </w:rPr>
        <w:t xml:space="preserve">VPPAs with Scout Clean Energy (Texas wind, 40% of system electrical needs) and NextEra (solar); on track for 100% renewable electricity by 2026</w:t>
      </w:r>
    </w:p>
    <w:p>
      <w:pPr>
        <w:pStyle w:val="ListParagraph"/>
        <w:numPr>
          <w:ilvl w:val="0"/>
          <w:numId w:val="2"/>
        </w:numPr>
        <w:spacing w:after="40" w:before="40"/>
      </w:pPr>
      <w:r>
        <w:rPr>
          <w:rFonts w:ascii="Arial" w:cs="Arial" w:eastAsia="Arial" w:hAnsi="Arial"/>
          <w:sz w:val="22"/>
          <w:szCs w:val="22"/>
        </w:rPr>
        <w:t xml:space="preserve">3MW corporate campus solar installation completed March 2025 — one of Florida's largest privately owned solar projects</w:t>
      </w:r>
    </w:p>
    <w:p>
      <w:pPr>
        <w:pStyle w:val="ListParagraph"/>
        <w:numPr>
          <w:ilvl w:val="0"/>
          <w:numId w:val="2"/>
        </w:numPr>
        <w:spacing w:after="40" w:before="40"/>
      </w:pPr>
      <w:r>
        <w:rPr>
          <w:rFonts w:ascii="Arial" w:cs="Arial" w:eastAsia="Arial" w:hAnsi="Arial"/>
          <w:sz w:val="22"/>
          <w:szCs w:val="22"/>
        </w:rPr>
        <w:t xml:space="preserve">Watershed platform used for automated GHG data collection across the portfolio</w:t>
      </w:r>
    </w:p>
    <w:p>
      <w:pPr>
        <w:pStyle w:val="ListParagraph"/>
        <w:numPr>
          <w:ilvl w:val="0"/>
          <w:numId w:val="2"/>
        </w:numPr>
        <w:spacing w:after="40" w:before="40"/>
      </w:pPr>
      <w:r>
        <w:rPr>
          <w:rFonts w:ascii="Arial" w:cs="Arial" w:eastAsia="Arial" w:hAnsi="Arial"/>
          <w:sz w:val="22"/>
          <w:szCs w:val="22"/>
        </w:rPr>
        <w:t xml:space="preserve">Two sustainability co-leads at C-suite: Marisa Farabaugh (Chief Supply Chain Officer) and Rob Roy (Chief Investment Officer)</w:t>
      </w:r>
    </w:p>
    <w:p>
      <w:pPr>
        <w:pStyle w:val="ListParagraph"/>
        <w:numPr>
          <w:ilvl w:val="0"/>
          <w:numId w:val="2"/>
        </w:numPr>
        <w:spacing w:after="40" w:before="40"/>
      </w:pPr>
      <w:r>
        <w:rPr>
          <w:rFonts w:ascii="Arial" w:cs="Arial" w:eastAsia="Arial" w:hAnsi="Arial"/>
          <w:sz w:val="22"/>
          <w:szCs w:val="22"/>
        </w:rPr>
        <w:t xml:space="preserve">Each of the 55 hospitals has been asked to develop its own environmental sustainability plan</w:t>
      </w:r>
    </w:p>
    <w:p>
      <w:pPr>
        <w:pStyle w:val="Heading1"/>
      </w:pPr>
      <w:r>
        <w:rPr>
          <w:rFonts w:ascii="Arial" w:cs="Arial" w:eastAsia="Arial" w:hAnsi="Arial"/>
        </w:rPr>
        <w:t xml:space="preserve">5. Key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EF9E7"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Use John Culver's Quote in Every Healthcare Pitch</w:t>
            </w:r>
          </w:p>
          <w:p>
            <w:pPr>
              <w:spacing w:after="0" w:before="0"/>
            </w:pPr>
            <w:r>
              <w:rPr>
                <w:rFonts w:ascii="Arial" w:cs="Arial" w:eastAsia="Arial" w:hAnsi="Arial"/>
                <w:sz w:val="21"/>
                <w:szCs w:val="21"/>
              </w:rPr>
              <w:t xml:space="preserve">"It being a little bit smarter and knowing how to interpret what's on the bills and not just interpret, but tell us why we should care and what we can do to change it, would be great." This is the most direct, unprompted articulation of Clear Current's value proposition from any interview in this research program. It came from an actual buyer at a 55-hospital system that currently uses ENGIE Impact and is dissatisfied. It should anchor the product module recommendations and the final presentation.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Lead with Data Integrity, Not AI Sophistication</w:t>
            </w:r>
          </w:p>
          <w:p>
            <w:pPr>
              <w:spacing w:after="0" w:before="0"/>
            </w:pPr>
            <w:r>
              <w:rPr>
                <w:rFonts w:ascii="Arial" w:cs="Arial" w:eastAsia="Arial" w:hAnsi="Arial"/>
                <w:sz w:val="21"/>
                <w:szCs w:val="21"/>
              </w:rPr>
              <w:t xml:space="preserve">Both John and Scott were skeptical of 'AI layered on top' as a solution. They have seen vendors overpromise this. Clear Current's pitch to AdventHealth should explicitly address the data quality problem first: 'Before we give you insights, we make sure your data is right.' Positioning around foundation-first credibility will resonate more than feature comparisons.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Make Non-Profit Tax Exemption a Named Feature</w:t>
            </w:r>
          </w:p>
          <w:p>
            <w:pPr>
              <w:spacing w:after="0" w:before="0"/>
            </w:pPr>
            <w:r>
              <w:rPr>
                <w:rFonts w:ascii="Arial" w:cs="Arial" w:eastAsia="Arial" w:hAnsi="Arial"/>
                <w:sz w:val="21"/>
                <w:szCs w:val="21"/>
              </w:rPr>
              <w:t xml:space="preserve">John identified tax exemption verification across 73 utility providers as a specific, ongoing pain point. AdventHealth is a non-profit and should not pay utility taxes — but consistently ensuring this across 73 different utility bills is a real operational gap. A billing audit that flags improper tax charges on non-profit accounts is a concrete, dollar-quantifiable feature with strong healthcare applicability.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Explicitly Separate Clear Current from BAS/Controls AI</w:t>
            </w:r>
          </w:p>
          <w:p>
            <w:pPr>
              <w:spacing w:after="0" w:before="0"/>
            </w:pPr>
            <w:r>
              <w:rPr>
                <w:rFonts w:ascii="Arial" w:cs="Arial" w:eastAsia="Arial" w:hAnsi="Arial"/>
                <w:sz w:val="21"/>
                <w:szCs w:val="21"/>
              </w:rPr>
              <w:t xml:space="preserve">Scott spent 2.5 years trying to get BrainBox AI through IT approval. The HIPAA and cybersecurity concerns around building controls network access are severe. Clear Current reads utility bills, not building control systems — it creates no HIPAA-relevant data tunnel. This distinction must be explicit in any AdventHealth or healthcare sales conversation: 'We analyze your invoices, not your building systems.'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5: Pursue the Allegra Wiesler Follow-Up</w:t>
            </w:r>
          </w:p>
          <w:p>
            <w:pPr>
              <w:spacing w:after="0" w:before="0"/>
            </w:pPr>
            <w:r>
              <w:rPr>
                <w:rFonts w:ascii="Arial" w:cs="Arial" w:eastAsia="Arial" w:hAnsi="Arial"/>
                <w:sz w:val="21"/>
                <w:szCs w:val="21"/>
              </w:rPr>
              <w:t xml:space="preserve">This interview was booked with Allegra Wiesler (Executive Director, Environmental Sustainability) and she did not attend. John and Scott provided excellent operational intelligence, but Allegra's perspective — as the person who owns sustainability strategy and directly oversees the emissions data workflows tied to the VPPA and renewable energy programs — would add a critical dimension around how billing data feeds into Scope 2 reporting. A 20-minute follow-up call with Allegra specifically on data quality for GHG reporting would complete the picture.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6: Build an M&amp;A Portfolio Change Module</w:t>
            </w:r>
          </w:p>
          <w:p>
            <w:pPr>
              <w:spacing w:after="0" w:before="0"/>
            </w:pPr>
            <w:r>
              <w:rPr>
                <w:rFonts w:ascii="Arial" w:cs="Arial" w:eastAsia="Arial" w:hAnsi="Arial"/>
                <w:sz w:val="21"/>
                <w:szCs w:val="21"/>
              </w:rPr>
              <w:t xml:space="preserve">John described a constant pain point: as AdventHealth grows through mergers and acquisitions, new sites must be onboarded into billing analytics and old sites deactivated. ENGIE is slow to update. A platform that can rapidly onboard new meters, map them to addresses, and flag any mismatches from day one of an acquisition would directly address AdventHealth's most operationally painful gap.</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2026-04-15T20:20:37.329Z</dcterms:created>
  <dcterms:modified xsi:type="dcterms:W3CDTF">2026-04-15T20:20:37.330Z</dcterms:modified>
</cp:coreProperties>
</file>

<file path=docProps/custom.xml><?xml version="1.0" encoding="utf-8"?>
<Properties xmlns="http://schemas.openxmlformats.org/officeDocument/2006/custom-properties" xmlns:vt="http://schemas.openxmlformats.org/officeDocument/2006/docPropsVTypes"/>
</file>