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F5C518" w:sz="8"/>
        </w:pBdr>
        <w:spacing w:after="60" w:before="0"/>
        <w:jc w:val="center"/>
      </w:pPr>
      <w:r>
        <w:rPr>
          <w:rFonts w:ascii="Arial" w:cs="Arial" w:eastAsia="Arial" w:hAnsi="Arial"/>
          <w:b/>
          <w:bCs/>
          <w:color w:val="0A1628"/>
          <w:sz w:val="36"/>
          <w:szCs w:val="36"/>
        </w:rPr>
        <w:t xml:space="preserve">Interview Summary</w:t>
      </w:r>
    </w:p>
    <w:p>
      <w:pPr>
        <w:spacing w:after="20" w:before="100"/>
        <w:jc w:val="center"/>
      </w:pPr>
      <w:r>
        <w:rPr>
          <w:rFonts w:ascii="Arial" w:cs="Arial" w:eastAsia="Arial" w:hAnsi="Arial"/>
          <w:b/>
          <w:bCs/>
          <w:color w:val="444444"/>
          <w:sz w:val="26"/>
          <w:szCs w:val="26"/>
        </w:rPr>
        <w:t xml:space="preserve">The University of Texas at Austin | Utilities &amp; Energy Management</w:t>
      </w:r>
    </w:p>
    <w:p>
      <w:pPr>
        <w:spacing w:after="20" w:before="0"/>
        <w:jc w:val="center"/>
      </w:pPr>
      <w:r>
        <w:rPr>
          <w:rFonts w:ascii="Arial" w:cs="Arial" w:eastAsia="Arial" w:hAnsi="Arial"/>
          <w:color w:val="444444"/>
          <w:sz w:val="22"/>
          <w:szCs w:val="22"/>
        </w:rPr>
        <w:t xml:space="preserve">Andi Ault, Senior Associate Director, Finance &amp; Administrative Services</w:t>
      </w:r>
    </w:p>
    <w:p>
      <w:pPr>
        <w:spacing w:after="200" w:before="0"/>
        <w:jc w:val="center"/>
      </w:pPr>
      <w:r>
        <w:rPr>
          <w:rFonts w:ascii="Arial" w:cs="Arial" w:eastAsia="Arial" w:hAnsi="Arial"/>
          <w:i/>
          <w:iCs/>
          <w:color w:val="777777"/>
          <w:sz w:val="20"/>
          <w:szCs w:val="20"/>
        </w:rPr>
        <w:t xml:space="preserve">Conducted by Clayton Hester  |  April 1, 2026</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C518" w:sz="6"/>
              <w:left w:val="single" w:color="F5C518" w:sz="6"/>
              <w:bottom w:val="single" w:color="F5C518" w:sz="6"/>
              <w:right w:val="single" w:color="F5C518" w:sz="6"/>
            </w:tcBorders>
            <w:shd w:fill="FEF9E7" w:val="clear"/>
            <w:tcMar>
              <w:top w:type="dxa" w:w="120"/>
              <w:left w:type="dxa" w:w="160"/>
              <w:bottom w:type="dxa" w:w="120"/>
              <w:right w:type="dxa" w:w="160"/>
            </w:tcMar>
          </w:tcPr>
          <w:p>
            <w:pPr>
              <w:spacing w:after="60" w:before="0"/>
            </w:pPr>
            <w:r>
              <w:rPr>
                <w:rFonts w:ascii="Arial" w:cs="Arial" w:eastAsia="Arial" w:hAnsi="Arial"/>
                <w:b/>
                <w:bCs/>
                <w:color w:val="0A1628"/>
                <w:sz w:val="22"/>
                <w:szCs w:val="22"/>
              </w:rPr>
              <w:t xml:space="preserve">Why This Interview Matters</w:t>
            </w:r>
          </w:p>
          <w:p>
            <w:pPr>
              <w:spacing w:after="0" w:before="0"/>
            </w:pPr>
            <w:r>
              <w:rPr>
                <w:rFonts w:ascii="Arial" w:cs="Arial" w:eastAsia="Arial" w:hAnsi="Arial"/>
                <w:sz w:val="21"/>
                <w:szCs w:val="21"/>
              </w:rPr>
              <w:t xml:space="preserve">Andi Ault is the first finance-side interviewee in this research program. Every previous interview (Don Johnson, Andee Chamberlain, Phil Combs) came from the energy operations or solutions provider perspective. Andi provides the missing half of the dual-audience problem identified across all prior interviews: the person who sees energy data as dollars, budgets, and forecasts rather than demand curves and consumption profiles. UT Austin operates one of the most advanced district energy systems in the country, generating approximately 95% of main campus electricity on-site with 60 MW capacity. Her perspective on how financial systems, budgeting cycles, and cost forecasting interact with energy data is uniquely valuable for Clear Current's product design.</w:t>
            </w:r>
          </w:p>
        </w:tc>
      </w:tr>
    </w:tbl>
    <w:p>
      <w:pPr>
        <w:spacing w:after="160" w:before="0"/>
      </w:pPr>
    </w:p>
    <w:p>
      <w:pPr>
        <w:pStyle w:val="Heading1"/>
      </w:pPr>
      <w:r>
        <w:rPr>
          <w:rFonts w:ascii="Arial" w:cs="Arial" w:eastAsia="Arial" w:hAnsi="Arial"/>
        </w:rPr>
        <w:t xml:space="preserve">1. Interviewee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0D0D0" w:sz="1"/>
              <w:left w:val="single" w:color="D0D0D0" w:sz="1"/>
              <w:bottom w:val="single" w:color="D0D0D0" w:sz="1"/>
              <w:right w:val="single" w:color="D0D0D0" w:sz="1"/>
            </w:tcBorders>
            <w:shd w:fill="0A1628" w:val="clear"/>
            <w:tcMar>
              <w:top w:type="dxa" w:w="80"/>
              <w:left w:type="dxa" w:w="120"/>
              <w:bottom w:type="dxa" w:w="80"/>
              <w:right w:type="dxa" w:w="120"/>
            </w:tcMar>
          </w:tcPr>
          <w:p>
            <w:r>
              <w:rPr>
                <w:rFonts w:ascii="Arial" w:cs="Arial" w:eastAsia="Arial" w:hAnsi="Arial"/>
                <w:b/>
                <w:bCs/>
                <w:color w:val="FFFFFF"/>
                <w:sz w:val="21"/>
                <w:szCs w:val="21"/>
              </w:rPr>
              <w:t xml:space="preserve">Field</w:t>
            </w:r>
          </w:p>
        </w:tc>
        <w:tc>
          <w:tcPr>
            <w:tcW w:type="dxa" w:w="7020"/>
            <w:tcBorders>
              <w:top w:val="single" w:color="D0D0D0" w:sz="1"/>
              <w:left w:val="single" w:color="D0D0D0" w:sz="1"/>
              <w:bottom w:val="single" w:color="D0D0D0" w:sz="1"/>
              <w:right w:val="single" w:color="D0D0D0" w:sz="1"/>
            </w:tcBorders>
            <w:shd w:fill="0A1628" w:val="clear"/>
            <w:tcMar>
              <w:top w:type="dxa" w:w="80"/>
              <w:left w:type="dxa" w:w="120"/>
              <w:bottom w:type="dxa" w:w="80"/>
              <w:right w:type="dxa" w:w="120"/>
            </w:tcMar>
          </w:tcPr>
          <w:p>
            <w:r>
              <w:rPr>
                <w:rFonts w:ascii="Arial" w:cs="Arial" w:eastAsia="Arial" w:hAnsi="Arial"/>
                <w:b/>
                <w:bCs/>
                <w:color w:val="FFFFFF"/>
                <w:sz w:val="21"/>
                <w:szCs w:val="21"/>
              </w:rPr>
              <w:t xml:space="preserve">Detail</w:t>
            </w:r>
          </w:p>
        </w:tc>
      </w:tr>
      <w:tr>
        <w:tc>
          <w:tcPr>
            <w:tcW w:type="dxa" w:w="234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b/>
                <w:bCs/>
                <w:color w:val="0A1628"/>
                <w:sz w:val="21"/>
                <w:szCs w:val="21"/>
              </w:rPr>
              <w:t xml:space="preserve">Name</w:t>
            </w:r>
          </w:p>
        </w:tc>
        <w:tc>
          <w:tcPr>
            <w:tcW w:type="dxa" w:w="702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sz w:val="21"/>
                <w:szCs w:val="21"/>
              </w:rPr>
              <w:t xml:space="preserve">Andi Ault</w:t>
            </w:r>
          </w:p>
        </w:tc>
      </w:tr>
      <w:tr>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A1628"/>
                <w:sz w:val="21"/>
                <w:szCs w:val="21"/>
              </w:rPr>
              <w:t xml:space="preserve">Title</w:t>
            </w:r>
          </w:p>
        </w:tc>
        <w:tc>
          <w:tcPr>
            <w:tcW w:type="dxa" w:w="70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Senior Associate Director, Finance &amp; Administrative Services</w:t>
            </w:r>
          </w:p>
        </w:tc>
      </w:tr>
      <w:tr>
        <w:tc>
          <w:tcPr>
            <w:tcW w:type="dxa" w:w="234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b/>
                <w:bCs/>
                <w:color w:val="0A1628"/>
                <w:sz w:val="21"/>
                <w:szCs w:val="21"/>
              </w:rPr>
              <w:t xml:space="preserve">Department</w:t>
            </w:r>
          </w:p>
        </w:tc>
        <w:tc>
          <w:tcPr>
            <w:tcW w:type="dxa" w:w="702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sz w:val="21"/>
                <w:szCs w:val="21"/>
              </w:rPr>
              <w:t xml:space="preserve">Utilities &amp; Energy Management (UEM), UT Austin Campus Operations</w:t>
            </w:r>
          </w:p>
        </w:tc>
      </w:tr>
      <w:tr>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A1628"/>
                <w:sz w:val="21"/>
                <w:szCs w:val="21"/>
              </w:rPr>
              <w:t xml:space="preserve">Contact</w:t>
            </w:r>
          </w:p>
        </w:tc>
        <w:tc>
          <w:tcPr>
            <w:tcW w:type="dxa" w:w="70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512-738-1211</w:t>
            </w:r>
          </w:p>
        </w:tc>
      </w:tr>
      <w:tr>
        <w:tc>
          <w:tcPr>
            <w:tcW w:type="dxa" w:w="234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b/>
                <w:bCs/>
                <w:color w:val="0A1628"/>
                <w:sz w:val="21"/>
                <w:szCs w:val="21"/>
              </w:rPr>
              <w:t xml:space="preserve">Background</w:t>
            </w:r>
          </w:p>
        </w:tc>
        <w:tc>
          <w:tcPr>
            <w:tcW w:type="dxa" w:w="702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sz w:val="21"/>
                <w:szCs w:val="21"/>
              </w:rPr>
              <w:t xml:space="preserve">Controller at US Foods (large division) | Financial Institutions Examiner, State of North Dakota</w:t>
            </w:r>
          </w:p>
        </w:tc>
      </w:tr>
      <w:tr>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A1628"/>
                <w:sz w:val="21"/>
                <w:szCs w:val="21"/>
              </w:rPr>
              <w:t xml:space="preserve">Education</w:t>
            </w:r>
          </w:p>
        </w:tc>
        <w:tc>
          <w:tcPr>
            <w:tcW w:type="dxa" w:w="70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BS Accountancy, San Diego State University</w:t>
            </w:r>
          </w:p>
        </w:tc>
      </w:tr>
      <w:tr>
        <w:tc>
          <w:tcPr>
            <w:tcW w:type="dxa" w:w="234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b/>
                <w:bCs/>
                <w:color w:val="0A1628"/>
                <w:sz w:val="21"/>
                <w:szCs w:val="21"/>
              </w:rPr>
              <w:t xml:space="preserve">Tenure at UT</w:t>
            </w:r>
          </w:p>
        </w:tc>
        <w:tc>
          <w:tcPr>
            <w:tcW w:type="dxa" w:w="702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sz w:val="21"/>
                <w:szCs w:val="21"/>
              </w:rPr>
              <w:t xml:space="preserve">Over a decade; previously Associate Director, Business &amp; Financial Services - Accounting</w:t>
            </w:r>
          </w:p>
        </w:tc>
      </w:tr>
      <w:tr>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A1628"/>
                <w:sz w:val="21"/>
                <w:szCs w:val="21"/>
              </w:rPr>
              <w:t xml:space="preserve">Role in Interview</w:t>
            </w:r>
          </w:p>
        </w:tc>
        <w:tc>
          <w:tcPr>
            <w:tcW w:type="dxa" w:w="70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Provided finance-side perspective on budgeting, forecasting, fuel hedging, cost analysis, and financial system limitations</w:t>
            </w:r>
          </w:p>
        </w:tc>
      </w:tr>
    </w:tbl>
    <w:p>
      <w:pPr>
        <w:spacing w:after="80" w:before="0"/>
      </w:pPr>
    </w:p>
    <w:p>
      <w:pPr>
        <w:spacing w:after="100" w:before="0"/>
      </w:pPr>
      <w:r>
        <w:rPr>
          <w:rFonts w:ascii="Arial" w:cs="Arial" w:eastAsia="Arial" w:hAnsi="Arial"/>
          <w:sz w:val="22"/>
          <w:szCs w:val="22"/>
        </w:rPr>
        <w:t xml:space="preserve">Andi's career path is finance, not energy engineering. She came to UT Austin from a controller role at US Foods and a regulatory examiner role in North Dakota. Her expertise is in building efficient business processes, implementing financial controls, and providing financial analytics and forecasts. She was clear throughout the interview that she could speak to the financial realm but that energy operations, metering, and technical analysis were handled by other teams.</w:t>
      </w:r>
    </w:p>
    <w:p>
      <w:pPr>
        <w:pStyle w:val="Heading1"/>
      </w:pPr>
      <w:r>
        <w:rPr>
          <w:rFonts w:ascii="Arial" w:cs="Arial" w:eastAsia="Arial" w:hAnsi="Arial"/>
        </w:rPr>
        <w:t xml:space="preserve">2. UT Austin - Energy Operations at a Glance</w:t>
      </w:r>
    </w:p>
    <w:p>
      <w:pPr>
        <w:spacing w:after="100" w:before="0"/>
      </w:pPr>
      <w:r>
        <w:rPr>
          <w:rFonts w:ascii="Arial" w:cs="Arial" w:eastAsia="Arial" w:hAnsi="Arial"/>
          <w:sz w:val="22"/>
          <w:szCs w:val="22"/>
        </w:rPr>
        <w:t xml:space="preserve">UT Austin's energy infrastructure is substantially more complex and self-sufficient than any other institution interviewed in this research program.</w:t>
      </w:r>
    </w:p>
    <w:p>
      <w:pPr>
        <w:pStyle w:val="ListParagraph"/>
        <w:numPr>
          <w:ilvl w:val="0"/>
          <w:numId w:val="2"/>
        </w:numPr>
        <w:spacing w:after="40" w:before="40"/>
      </w:pPr>
      <w:r>
        <w:rPr>
          <w:rFonts w:ascii="Arial" w:cs="Arial" w:eastAsia="Arial" w:hAnsi="Arial"/>
          <w:b/>
          <w:bCs/>
          <w:sz w:val="22"/>
          <w:szCs w:val="22"/>
        </w:rPr>
        <w:t xml:space="preserve">~95% on-site electricity generation </w:t>
      </w:r>
      <w:r>
        <w:rPr>
          <w:rFonts w:ascii="Arial" w:cs="Arial" w:eastAsia="Arial" w:hAnsi="Arial"/>
          <w:sz w:val="22"/>
          <w:szCs w:val="22"/>
        </w:rPr>
        <w:t xml:space="preserve">on main campus via a combined heat and power plant with approximately 60 MW capacity. Only about 5% is purchased. This is fundamentally different from Texas State, which purchases all electricity from the City of San Marcos.</w:t>
      </w:r>
    </w:p>
    <w:p>
      <w:pPr>
        <w:pStyle w:val="ListParagraph"/>
        <w:numPr>
          <w:ilvl w:val="0"/>
          <w:numId w:val="2"/>
        </w:numPr>
        <w:spacing w:after="40" w:before="40"/>
      </w:pPr>
      <w:r>
        <w:rPr>
          <w:rFonts w:ascii="Arial" w:cs="Arial" w:eastAsia="Arial" w:hAnsi="Arial"/>
          <w:b/>
          <w:bCs/>
          <w:sz w:val="22"/>
          <w:szCs w:val="22"/>
        </w:rPr>
        <w:t xml:space="preserve">North Campus purchases electricity </w:t>
      </w:r>
      <w:r>
        <w:rPr>
          <w:rFonts w:ascii="Arial" w:cs="Arial" w:eastAsia="Arial" w:hAnsi="Arial"/>
          <w:sz w:val="22"/>
          <w:szCs w:val="22"/>
        </w:rPr>
        <w:t xml:space="preserve">from the City of Austin and runs chilling operations there separately.</w:t>
      </w:r>
    </w:p>
    <w:p>
      <w:pPr>
        <w:pStyle w:val="ListParagraph"/>
        <w:numPr>
          <w:ilvl w:val="0"/>
          <w:numId w:val="2"/>
        </w:numPr>
        <w:spacing w:after="40" w:before="40"/>
      </w:pPr>
      <w:r>
        <w:rPr>
          <w:rFonts w:ascii="Arial" w:cs="Arial" w:eastAsia="Arial" w:hAnsi="Arial"/>
          <w:b/>
          <w:bCs/>
          <w:sz w:val="22"/>
          <w:szCs w:val="22"/>
        </w:rPr>
        <w:t xml:space="preserve">District energy system </w:t>
      </w:r>
      <w:r>
        <w:rPr>
          <w:rFonts w:ascii="Arial" w:cs="Arial" w:eastAsia="Arial" w:hAnsi="Arial"/>
          <w:sz w:val="22"/>
          <w:szCs w:val="22"/>
        </w:rPr>
        <w:t xml:space="preserve">producing electricity, steam, and chilled water on-site and distributing to campus buildings.</w:t>
      </w:r>
    </w:p>
    <w:p>
      <w:pPr>
        <w:pStyle w:val="ListParagraph"/>
        <w:numPr>
          <w:ilvl w:val="0"/>
          <w:numId w:val="2"/>
        </w:numPr>
        <w:spacing w:after="40" w:before="40"/>
      </w:pPr>
      <w:r>
        <w:rPr>
          <w:rFonts w:ascii="Arial" w:cs="Arial" w:eastAsia="Arial" w:hAnsi="Arial"/>
          <w:b/>
          <w:bCs/>
          <w:sz w:val="22"/>
          <w:szCs w:val="22"/>
        </w:rPr>
        <w:t xml:space="preserve">~$20 million annual natural gas spend </w:t>
      </w:r>
      <w:r>
        <w:rPr>
          <w:rFonts w:ascii="Arial" w:cs="Arial" w:eastAsia="Arial" w:hAnsi="Arial"/>
          <w:sz w:val="22"/>
          <w:szCs w:val="22"/>
        </w:rPr>
        <w:t xml:space="preserve">subject to fuel hedging strategy to manage market volatility.</w:t>
      </w:r>
    </w:p>
    <w:p>
      <w:pPr>
        <w:pStyle w:val="ListParagraph"/>
        <w:numPr>
          <w:ilvl w:val="0"/>
          <w:numId w:val="2"/>
        </w:numPr>
        <w:spacing w:after="40" w:before="40"/>
      </w:pPr>
      <w:r>
        <w:rPr>
          <w:rFonts w:ascii="Arial" w:cs="Arial" w:eastAsia="Arial" w:hAnsi="Arial"/>
          <w:b/>
          <w:bCs/>
          <w:sz w:val="22"/>
          <w:szCs w:val="22"/>
        </w:rPr>
        <w:t xml:space="preserve">200+ employees </w:t>
      </w:r>
      <w:r>
        <w:rPr>
          <w:rFonts w:ascii="Arial" w:cs="Arial" w:eastAsia="Arial" w:hAnsi="Arial"/>
          <w:sz w:val="22"/>
          <w:szCs w:val="22"/>
        </w:rPr>
        <w:t xml:space="preserve">across five divisions with dedicated engineering, strategic programs, and finance teams.</w:t>
      </w:r>
    </w:p>
    <w:p>
      <w:pPr>
        <w:pStyle w:val="ListParagraph"/>
        <w:numPr>
          <w:ilvl w:val="0"/>
          <w:numId w:val="2"/>
        </w:numPr>
        <w:spacing w:after="40" w:before="40"/>
      </w:pPr>
      <w:r>
        <w:rPr>
          <w:rFonts w:ascii="Arial" w:cs="Arial" w:eastAsia="Arial" w:hAnsi="Arial"/>
          <w:b/>
          <w:bCs/>
          <w:sz w:val="22"/>
          <w:szCs w:val="22"/>
        </w:rPr>
        <w:t xml:space="preserve">Major capital expansion underway </w:t>
      </w:r>
      <w:r>
        <w:rPr>
          <w:rFonts w:ascii="Arial" w:cs="Arial" w:eastAsia="Arial" w:hAnsi="Arial"/>
          <w:sz w:val="22"/>
          <w:szCs w:val="22"/>
        </w:rPr>
        <w:t xml:space="preserve">a new utility plant is needed to support a large medical building coming to campus.</w:t>
      </w:r>
    </w:p>
    <w:p>
      <w:pPr>
        <w:pStyle w:val="ListParagraph"/>
        <w:numPr>
          <w:ilvl w:val="0"/>
          <w:numId w:val="2"/>
        </w:numPr>
        <w:spacing w:after="40" w:before="40"/>
      </w:pPr>
      <w:r>
        <w:rPr>
          <w:rFonts w:ascii="Arial" w:cs="Arial" w:eastAsia="Arial" w:hAnsi="Arial"/>
          <w:b/>
          <w:bCs/>
          <w:sz w:val="22"/>
          <w:szCs w:val="22"/>
        </w:rPr>
        <w:t xml:space="preserve">PEER Platinum certified </w:t>
      </w:r>
      <w:r>
        <w:rPr>
          <w:rFonts w:ascii="Arial" w:cs="Arial" w:eastAsia="Arial" w:hAnsi="Arial"/>
          <w:sz w:val="22"/>
          <w:szCs w:val="22"/>
        </w:rPr>
        <w:t xml:space="preserve">district energy system - one of the most awarded university energy operations in the country.</w:t>
      </w:r>
    </w:p>
    <w:p>
      <w:pPr>
        <w:pStyle w:val="Heading1"/>
      </w:pPr>
      <w:r>
        <w:rPr>
          <w:rFonts w:ascii="Arial" w:cs="Arial" w:eastAsia="Arial" w:hAnsi="Arial"/>
        </w:rPr>
        <w:t xml:space="preserve">3. Key Interview Findings</w:t>
      </w:r>
    </w:p>
    <w:p>
      <w:pPr>
        <w:pStyle w:val="Heading2"/>
      </w:pPr>
      <w:r>
        <w:rPr>
          <w:rFonts w:ascii="Arial" w:cs="Arial" w:eastAsia="Arial" w:hAnsi="Arial"/>
        </w:rPr>
        <w:t xml:space="preserve">3.1 Finance Is Reactive - Hedging Is the One Proactive Lever</w:t>
      </w:r>
    </w:p>
    <w:p>
      <w:pPr>
        <w:spacing w:after="100" w:before="0"/>
      </w:pPr>
      <w:r>
        <w:rPr>
          <w:rFonts w:ascii="Arial" w:cs="Arial" w:eastAsia="Arial" w:hAnsi="Arial"/>
          <w:sz w:val="22"/>
          <w:szCs w:val="22"/>
        </w:rPr>
        <w:t xml:space="preserve">Andi drew a clear line between the reactive nature of her financial work and the one proactive tool she has: fuel hedging. Most of her job involves taking historical data, updating it for current conditions, and building pro formas for upcoming situations.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single" w:color="F5C518" w:sz="12"/>
              <w:bottom w:val="none" w:color="FFFFFF" w:sz="0"/>
              <w:right w:val="none" w:color="FFFFFF" w:sz="0"/>
            </w:tcBorders>
            <w:shd w:fill="FFFFFF" w:val="clear"/>
            <w:tcMar>
              <w:top w:type="dxa" w:w="40"/>
              <w:left w:type="dxa" w:w="0"/>
              <w:bottom w:type="dxa" w:w="40"/>
              <w:right w:type="dxa" w:w="0"/>
            </w:tcMar>
          </w:tcPr>
          <w:p/>
        </w:tc>
        <w:tc>
          <w:tcPr>
            <w:tcW w:type="dxa" w:w="9120"/>
            <w:tcBorders>
              <w:top w:val="none" w:color="FFFFFF" w:sz="0"/>
              <w:left w:val="none" w:color="FFFFFF" w:sz="0"/>
              <w:bottom w:val="none" w:color="FFFFFF" w:sz="0"/>
              <w:right w:val="none" w:color="FFFFFF" w:sz="0"/>
            </w:tcBorders>
            <w:shd w:fill="FFFFFF" w:val="clear"/>
            <w:tcMar>
              <w:top w:type="dxa" w:w="40"/>
              <w:left w:type="dxa" w:w="120"/>
              <w:bottom w:type="dxa" w:w="40"/>
              <w:right w:type="dxa" w:w="120"/>
            </w:tcMar>
          </w:tcPr>
          <w:p>
            <w:pPr>
              <w:spacing w:after="0" w:before="0"/>
            </w:pPr>
            <w:r>
              <w:rPr>
                <w:rFonts w:ascii="Arial" w:cs="Arial" w:eastAsia="Arial" w:hAnsi="Arial"/>
                <w:i/>
                <w:iCs/>
                <w:color w:val="444444"/>
                <w:sz w:val="21"/>
                <w:szCs w:val="21"/>
              </w:rPr>
              <w:t xml:space="preserve">"For me, the finance is really reactive. We can take other measures that are proactive like for instance hedging our fuel. We buy $20 million in natural gas every year plus or minus depending on pricing at the time."</w:t>
            </w:r>
          </w:p>
        </w:tc>
      </w:tr>
    </w:tbl>
    <w:p>
      <w:pPr>
        <w:spacing w:after="120" w:before="80"/>
      </w:pPr>
      <w:r>
        <w:rPr>
          <w:rFonts w:ascii="Arial" w:cs="Arial" w:eastAsia="Arial" w:hAnsi="Arial"/>
          <w:b/>
          <w:bCs/>
          <w:sz w:val="22"/>
          <w:szCs w:val="22"/>
        </w:rPr>
        <w:t xml:space="preserve">Implication for Clear Current: </w:t>
      </w:r>
      <w:r>
        <w:rPr>
          <w:rFonts w:ascii="Arial" w:cs="Arial" w:eastAsia="Arial" w:hAnsi="Arial"/>
          <w:sz w:val="22"/>
          <w:szCs w:val="22"/>
        </w:rPr>
        <w:t xml:space="preserve">The finance user is not looking at energy data to optimize operations - she is looking at it to predict and control costs. If Clear Current can provide forward-looking cost intelligence (rate trend analysis, regulatory monitoring, fuel price forecasting), it gives the finance user a second proactive lever beyond hedging.</w:t>
      </w:r>
    </w:p>
    <w:p>
      <w:pPr>
        <w:pStyle w:val="Heading2"/>
      </w:pPr>
      <w:r>
        <w:rPr>
          <w:rFonts w:ascii="Arial" w:cs="Arial" w:eastAsia="Arial" w:hAnsi="Arial"/>
        </w:rPr>
        <w:t xml:space="preserve">3.2 The Dual-Audience Problem - Confirmed from the Finance Side</w:t>
      </w:r>
    </w:p>
    <w:p>
      <w:pPr>
        <w:spacing w:after="100" w:before="0"/>
      </w:pPr>
      <w:r>
        <w:rPr>
          <w:rFonts w:ascii="Arial" w:cs="Arial" w:eastAsia="Arial" w:hAnsi="Arial"/>
          <w:sz w:val="22"/>
          <w:szCs w:val="22"/>
        </w:rPr>
        <w:t xml:space="preserve">Andi explicitly confirmed the data tension that Andee Chamberlain described at Texas State, but from the opposite chair. The engineers and analysts do variance analysis through a technical lens; Andi sees the same data as dollars and consumption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single" w:color="F5C518" w:sz="12"/>
              <w:bottom w:val="none" w:color="FFFFFF" w:sz="0"/>
              <w:right w:val="none" w:color="FFFFFF" w:sz="0"/>
            </w:tcBorders>
            <w:shd w:fill="FFFFFF" w:val="clear"/>
            <w:tcMar>
              <w:top w:type="dxa" w:w="40"/>
              <w:left w:type="dxa" w:w="0"/>
              <w:bottom w:type="dxa" w:w="40"/>
              <w:right w:type="dxa" w:w="0"/>
            </w:tcMar>
          </w:tcPr>
          <w:p/>
        </w:tc>
        <w:tc>
          <w:tcPr>
            <w:tcW w:type="dxa" w:w="9120"/>
            <w:tcBorders>
              <w:top w:val="none" w:color="FFFFFF" w:sz="0"/>
              <w:left w:val="none" w:color="FFFFFF" w:sz="0"/>
              <w:bottom w:val="none" w:color="FFFFFF" w:sz="0"/>
              <w:right w:val="none" w:color="FFFFFF" w:sz="0"/>
            </w:tcBorders>
            <w:shd w:fill="FFFFFF" w:val="clear"/>
            <w:tcMar>
              <w:top w:type="dxa" w:w="40"/>
              <w:left w:type="dxa" w:w="120"/>
              <w:bottom w:type="dxa" w:w="40"/>
              <w:right w:type="dxa" w:w="120"/>
            </w:tcMar>
          </w:tcPr>
          <w:p>
            <w:pPr>
              <w:spacing w:after="0" w:before="0"/>
            </w:pPr>
            <w:r>
              <w:rPr>
                <w:rFonts w:ascii="Arial" w:cs="Arial" w:eastAsia="Arial" w:hAnsi="Arial"/>
                <w:i/>
                <w:iCs/>
                <w:color w:val="444444"/>
                <w:sz w:val="21"/>
                <w:szCs w:val="21"/>
              </w:rPr>
              <w:t xml:space="preserve">"Our engineers and analysts within our organization, they do go through all the variance analysis. I don't look at that. That's their job because they would see it through a different lens than I would - they have the direct line to, mechanically, what's happening within our own plant or distribution systems. For me it's just dollars and consumption numbers."</w:t>
            </w:r>
          </w:p>
        </w:tc>
      </w:tr>
    </w:tbl>
    <w:p>
      <w:pPr>
        <w:spacing w:after="100" w:before="0"/>
      </w:pPr>
      <w:r>
        <w:rPr>
          <w:rFonts w:ascii="Arial" w:cs="Arial" w:eastAsia="Arial" w:hAnsi="Arial"/>
          <w:sz w:val="22"/>
          <w:szCs w:val="22"/>
        </w:rPr>
        <w:t xml:space="preserve">When asked whether a tool should be cross-collaborative - where an energy expert chats with the data and shares reports to the finance user - Andi's response was immediate and emphatic: "Oh, absolutely. Absolutely."</w:t>
      </w:r>
    </w:p>
    <w:p>
      <w:pPr>
        <w:spacing w:after="120" w:before="80"/>
      </w:pPr>
      <w:r>
        <w:rPr>
          <w:rFonts w:ascii="Arial" w:cs="Arial" w:eastAsia="Arial" w:hAnsi="Arial"/>
          <w:b/>
          <w:bCs/>
          <w:sz w:val="22"/>
          <w:szCs w:val="22"/>
        </w:rPr>
        <w:t xml:space="preserve">Implication for Clear Current: </w:t>
      </w:r>
      <w:r>
        <w:rPr>
          <w:rFonts w:ascii="Arial" w:cs="Arial" w:eastAsia="Arial" w:hAnsi="Arial"/>
          <w:sz w:val="22"/>
          <w:szCs w:val="22"/>
        </w:rPr>
        <w:t xml:space="preserve">This is the strongest validation yet of Dan's dual-audience UX design. The finance user does not want to do the technical analysis herself. She wants the technical team to interact with the tool, and then receive intuitive, shareable reports that translate findings into financial terms.</w:t>
      </w:r>
    </w:p>
    <w:p>
      <w:pPr>
        <w:pStyle w:val="Heading2"/>
      </w:pPr>
      <w:r>
        <w:rPr>
          <w:rFonts w:ascii="Arial" w:cs="Arial" w:eastAsia="Arial" w:hAnsi="Arial"/>
        </w:rPr>
        <w:t xml:space="preserve">3.3 Anomaly Flagging Is the #1 Finance-Side Use Case</w:t>
      </w:r>
    </w:p>
    <w:p>
      <w:pPr>
        <w:spacing w:after="100" w:before="0"/>
      </w:pPr>
      <w:r>
        <w:rPr>
          <w:rFonts w:ascii="Arial" w:cs="Arial" w:eastAsia="Arial" w:hAnsi="Arial"/>
          <w:sz w:val="22"/>
          <w:szCs w:val="22"/>
        </w:rPr>
        <w:t xml:space="preserve">When asked how she would use an AI energy management platform, Andi's first and most specific answer was anomaly flagging - having the system surface irregularities rather than requiring someone to go looking for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single" w:color="F5C518" w:sz="12"/>
              <w:bottom w:val="none" w:color="FFFFFF" w:sz="0"/>
              <w:right w:val="none" w:color="FFFFFF" w:sz="0"/>
            </w:tcBorders>
            <w:shd w:fill="FFFFFF" w:val="clear"/>
            <w:tcMar>
              <w:top w:type="dxa" w:w="40"/>
              <w:left w:type="dxa" w:w="0"/>
              <w:bottom w:type="dxa" w:w="40"/>
              <w:right w:type="dxa" w:w="0"/>
            </w:tcMar>
          </w:tcPr>
          <w:p/>
        </w:tc>
        <w:tc>
          <w:tcPr>
            <w:tcW w:type="dxa" w:w="9120"/>
            <w:tcBorders>
              <w:top w:val="none" w:color="FFFFFF" w:sz="0"/>
              <w:left w:val="none" w:color="FFFFFF" w:sz="0"/>
              <w:bottom w:val="none" w:color="FFFFFF" w:sz="0"/>
              <w:right w:val="none" w:color="FFFFFF" w:sz="0"/>
            </w:tcBorders>
            <w:shd w:fill="FFFFFF" w:val="clear"/>
            <w:tcMar>
              <w:top w:type="dxa" w:w="40"/>
              <w:left w:type="dxa" w:w="120"/>
              <w:bottom w:type="dxa" w:w="40"/>
              <w:right w:type="dxa" w:w="120"/>
            </w:tcMar>
          </w:tcPr>
          <w:p>
            <w:pPr>
              <w:spacing w:after="0" w:before="0"/>
            </w:pPr>
            <w:r>
              <w:rPr>
                <w:rFonts w:ascii="Arial" w:cs="Arial" w:eastAsia="Arial" w:hAnsi="Arial"/>
                <w:i/>
                <w:iCs/>
                <w:color w:val="444444"/>
                <w:sz w:val="21"/>
                <w:szCs w:val="21"/>
              </w:rPr>
              <w:t xml:space="preserve">"Definitely flagging anomalies would be the first process so that that is streamlined and featured and flagged rather than looking for it. That would be time saving."</w:t>
            </w:r>
          </w:p>
        </w:tc>
      </w:tr>
    </w:tbl>
    <w:p>
      <w:pPr>
        <w:spacing w:after="120" w:before="80"/>
      </w:pPr>
      <w:r>
        <w:rPr>
          <w:rFonts w:ascii="Arial" w:cs="Arial" w:eastAsia="Arial" w:hAnsi="Arial"/>
          <w:b/>
          <w:bCs/>
          <w:sz w:val="22"/>
          <w:szCs w:val="22"/>
        </w:rPr>
        <w:t xml:space="preserve">Implication for Clear Current: </w:t>
      </w:r>
      <w:r>
        <w:rPr>
          <w:rFonts w:ascii="Arial" w:cs="Arial" w:eastAsia="Arial" w:hAnsi="Arial"/>
          <w:sz w:val="22"/>
          <w:szCs w:val="22"/>
        </w:rPr>
        <w:t xml:space="preserve">From the finance side, the value proposition is not 'chat with your energy bill.' It is 'we flag what's wrong and hand you a shareable report.' The autonomous agent and Push to User dashboard layers are what sell to this persona.</w:t>
      </w:r>
    </w:p>
    <w:p>
      <w:pPr>
        <w:pStyle w:val="Heading2"/>
      </w:pPr>
      <w:r>
        <w:rPr>
          <w:rFonts w:ascii="Arial" w:cs="Arial" w:eastAsia="Arial" w:hAnsi="Arial"/>
        </w:rPr>
        <w:t xml:space="preserve">3.4 Rate Accuracy and Meter-to-Bill Validation</w:t>
      </w:r>
    </w:p>
    <w:p>
      <w:pPr>
        <w:spacing w:after="100" w:before="0"/>
      </w:pPr>
      <w:r>
        <w:rPr>
          <w:rFonts w:ascii="Arial" w:cs="Arial" w:eastAsia="Arial" w:hAnsi="Arial"/>
          <w:sz w:val="22"/>
          <w:szCs w:val="22"/>
        </w:rPr>
        <w:t xml:space="preserve">Andi described a specific pain point around translating purchased energy rates into their internal billing system. Fixed costs versus volumetric costs skew the average rate month to month based on actual consumption.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single" w:color="F5C518" w:sz="12"/>
              <w:bottom w:val="none" w:color="FFFFFF" w:sz="0"/>
              <w:right w:val="none" w:color="FFFFFF" w:sz="0"/>
            </w:tcBorders>
            <w:shd w:fill="FFFFFF" w:val="clear"/>
            <w:tcMar>
              <w:top w:type="dxa" w:w="40"/>
              <w:left w:type="dxa" w:w="0"/>
              <w:bottom w:type="dxa" w:w="40"/>
              <w:right w:type="dxa" w:w="0"/>
            </w:tcMar>
          </w:tcPr>
          <w:p/>
        </w:tc>
        <w:tc>
          <w:tcPr>
            <w:tcW w:type="dxa" w:w="9120"/>
            <w:tcBorders>
              <w:top w:val="none" w:color="FFFFFF" w:sz="0"/>
              <w:left w:val="none" w:color="FFFFFF" w:sz="0"/>
              <w:bottom w:val="none" w:color="FFFFFF" w:sz="0"/>
              <w:right w:val="none" w:color="FFFFFF" w:sz="0"/>
            </w:tcBorders>
            <w:shd w:fill="FFFFFF" w:val="clear"/>
            <w:tcMar>
              <w:top w:type="dxa" w:w="40"/>
              <w:left w:type="dxa" w:w="120"/>
              <w:bottom w:type="dxa" w:w="40"/>
              <w:right w:type="dxa" w:w="120"/>
            </w:tcMar>
          </w:tcPr>
          <w:p>
            <w:pPr>
              <w:spacing w:after="0" w:before="0"/>
            </w:pPr>
            <w:r>
              <w:rPr>
                <w:rFonts w:ascii="Arial" w:cs="Arial" w:eastAsia="Arial" w:hAnsi="Arial"/>
                <w:i/>
                <w:iCs/>
                <w:color w:val="444444"/>
                <w:sz w:val="21"/>
                <w:szCs w:val="21"/>
              </w:rPr>
              <w:t xml:space="preserve">"Fixed costs versus the volumetric costs - that skews your rate maybe from month to month based on your actual consumption. So maybe flagging where we have the wrong meter, are we being charged correctly? Why is this cost dramatically higher every single month than the equivalent?"</w:t>
            </w:r>
          </w:p>
        </w:tc>
      </w:tr>
    </w:tbl>
    <w:p>
      <w:pPr>
        <w:spacing w:after="120" w:before="80"/>
      </w:pPr>
      <w:r>
        <w:rPr>
          <w:rFonts w:ascii="Arial" w:cs="Arial" w:eastAsia="Arial" w:hAnsi="Arial"/>
          <w:b/>
          <w:bCs/>
          <w:sz w:val="22"/>
          <w:szCs w:val="22"/>
        </w:rPr>
        <w:t xml:space="preserve">Implication for Clear Current: </w:t>
      </w:r>
      <w:r>
        <w:rPr>
          <w:rFonts w:ascii="Arial" w:cs="Arial" w:eastAsia="Arial" w:hAnsi="Arial"/>
          <w:sz w:val="22"/>
          <w:szCs w:val="22"/>
        </w:rPr>
        <w:t xml:space="preserve">This is a different error type than what Don or Andee described. It is not a wrong multiplier or a misdirected bill - it is a structural rate anomaly created by how fixed and variable costs interact across different consumption levels.</w:t>
      </w:r>
    </w:p>
    <w:p>
      <w:pPr>
        <w:pStyle w:val="Heading2"/>
      </w:pPr>
      <w:r>
        <w:rPr>
          <w:rFonts w:ascii="Arial" w:cs="Arial" w:eastAsia="Arial" w:hAnsi="Arial"/>
        </w:rPr>
        <w:t xml:space="preserve">3.5 Metering Granularity Limits Financial Analysis</w:t>
      </w:r>
    </w:p>
    <w:p>
      <w:pPr>
        <w:spacing w:after="100" w:before="0"/>
      </w:pPr>
      <w:r>
        <w:rPr>
          <w:rFonts w:ascii="Arial" w:cs="Arial" w:eastAsia="Arial" w:hAnsi="Arial"/>
          <w:sz w:val="22"/>
          <w:szCs w:val="22"/>
        </w:rPr>
        <w:t xml:space="preserve">Andi revealed a metering gap that constrains what the finance team can do. For Education &amp; General (E&amp;G) buildings, they only have building-level metering - no sub-metering within buildings.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single" w:color="F5C518" w:sz="12"/>
              <w:bottom w:val="none" w:color="FFFFFF" w:sz="0"/>
              <w:right w:val="none" w:color="FFFFFF" w:sz="0"/>
            </w:tcBorders>
            <w:shd w:fill="FFFFFF" w:val="clear"/>
            <w:tcMar>
              <w:top w:type="dxa" w:w="40"/>
              <w:left w:type="dxa" w:w="0"/>
              <w:bottom w:type="dxa" w:w="40"/>
              <w:right w:type="dxa" w:w="0"/>
            </w:tcMar>
          </w:tcPr>
          <w:p/>
        </w:tc>
        <w:tc>
          <w:tcPr>
            <w:tcW w:type="dxa" w:w="9120"/>
            <w:tcBorders>
              <w:top w:val="none" w:color="FFFFFF" w:sz="0"/>
              <w:left w:val="none" w:color="FFFFFF" w:sz="0"/>
              <w:bottom w:val="none" w:color="FFFFFF" w:sz="0"/>
              <w:right w:val="none" w:color="FFFFFF" w:sz="0"/>
            </w:tcBorders>
            <w:shd w:fill="FFFFFF" w:val="clear"/>
            <w:tcMar>
              <w:top w:type="dxa" w:w="40"/>
              <w:left w:type="dxa" w:w="120"/>
              <w:bottom w:type="dxa" w:w="40"/>
              <w:right w:type="dxa" w:w="120"/>
            </w:tcMar>
          </w:tcPr>
          <w:p>
            <w:pPr>
              <w:spacing w:after="0" w:before="0"/>
            </w:pPr>
            <w:r>
              <w:rPr>
                <w:rFonts w:ascii="Arial" w:cs="Arial" w:eastAsia="Arial" w:hAnsi="Arial"/>
                <w:i/>
                <w:iCs/>
                <w:color w:val="444444"/>
                <w:sz w:val="21"/>
                <w:szCs w:val="21"/>
              </w:rPr>
              <w:t xml:space="preserve">"We don't have great granularity. It's just building-level metering because nobody's looking at those statements except for us - we're billing ourselves. Could we have better granularity? If we funded more metering we could, but what is the cost benefit?"</w:t>
            </w:r>
          </w:p>
        </w:tc>
      </w:tr>
    </w:tbl>
    <w:p>
      <w:pPr>
        <w:spacing w:after="120" w:before="80"/>
      </w:pPr>
      <w:r>
        <w:rPr>
          <w:rFonts w:ascii="Arial" w:cs="Arial" w:eastAsia="Arial" w:hAnsi="Arial"/>
          <w:b/>
          <w:bCs/>
          <w:sz w:val="22"/>
          <w:szCs w:val="22"/>
        </w:rPr>
        <w:t xml:space="preserve">Implication for Clear Current: </w:t>
      </w:r>
      <w:r>
        <w:rPr>
          <w:rFonts w:ascii="Arial" w:cs="Arial" w:eastAsia="Arial" w:hAnsi="Arial"/>
          <w:sz w:val="22"/>
          <w:szCs w:val="22"/>
        </w:rPr>
        <w:t xml:space="preserve">This echoes Andee Chamberlain's finding at Texas State about district energy metering challenges, but adds the finance dimension: the cost-benefit question of whether more granular metering is worth funding.</w:t>
      </w:r>
    </w:p>
    <w:p>
      <w:pPr>
        <w:pStyle w:val="Heading2"/>
      </w:pPr>
      <w:r>
        <w:rPr>
          <w:rFonts w:ascii="Arial" w:cs="Arial" w:eastAsia="Arial" w:hAnsi="Arial"/>
        </w:rPr>
        <w:t xml:space="preserve">3.6 Financial Systems Are Outdated - Integration Is the Dream</w:t>
      </w:r>
    </w:p>
    <w:p>
      <w:pPr>
        <w:spacing w:after="100" w:before="0"/>
      </w:pPr>
      <w:r>
        <w:rPr>
          <w:rFonts w:ascii="Arial" w:cs="Arial" w:eastAsia="Arial" w:hAnsi="Arial"/>
          <w:sz w:val="22"/>
          <w:szCs w:val="22"/>
        </w:rPr>
        <w:t xml:space="preserve">When asked what one task she would want automated, Andi pointed not to utility systems but to financial systems. Her wish was for budgets and forecasts to be built within or integrated with their financial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single" w:color="F5C518" w:sz="12"/>
              <w:bottom w:val="none" w:color="FFFFFF" w:sz="0"/>
              <w:right w:val="none" w:color="FFFFFF" w:sz="0"/>
            </w:tcBorders>
            <w:shd w:fill="FFFFFF" w:val="clear"/>
            <w:tcMar>
              <w:top w:type="dxa" w:w="40"/>
              <w:left w:type="dxa" w:w="0"/>
              <w:bottom w:type="dxa" w:w="40"/>
              <w:right w:type="dxa" w:w="0"/>
            </w:tcMar>
          </w:tcPr>
          <w:p/>
        </w:tc>
        <w:tc>
          <w:tcPr>
            <w:tcW w:type="dxa" w:w="9120"/>
            <w:tcBorders>
              <w:top w:val="none" w:color="FFFFFF" w:sz="0"/>
              <w:left w:val="none" w:color="FFFFFF" w:sz="0"/>
              <w:bottom w:val="none" w:color="FFFFFF" w:sz="0"/>
              <w:right w:val="none" w:color="FFFFFF" w:sz="0"/>
            </w:tcBorders>
            <w:shd w:fill="FFFFFF" w:val="clear"/>
            <w:tcMar>
              <w:top w:type="dxa" w:w="40"/>
              <w:left w:type="dxa" w:w="120"/>
              <w:bottom w:type="dxa" w:w="40"/>
              <w:right w:type="dxa" w:w="120"/>
            </w:tcMar>
          </w:tcPr>
          <w:p>
            <w:pPr>
              <w:spacing w:after="0" w:before="0"/>
            </w:pPr>
            <w:r>
              <w:rPr>
                <w:rFonts w:ascii="Arial" w:cs="Arial" w:eastAsia="Arial" w:hAnsi="Arial"/>
                <w:i/>
                <w:iCs/>
                <w:color w:val="444444"/>
                <w:sz w:val="21"/>
                <w:szCs w:val="21"/>
              </w:rPr>
              <w:t xml:space="preserve">"Our financial systems are pretty outdated. Just getting that back-end data isn't always the easiest. The ability to build budgets and forecasts within our financial system - or have it be integrated with our financial system - would be very helpful."</w:t>
            </w:r>
          </w:p>
        </w:tc>
      </w:tr>
    </w:tbl>
    <w:p>
      <w:pPr>
        <w:spacing w:after="120" w:before="80"/>
      </w:pPr>
      <w:r>
        <w:rPr>
          <w:rFonts w:ascii="Arial" w:cs="Arial" w:eastAsia="Arial" w:hAnsi="Arial"/>
          <w:b/>
          <w:bCs/>
          <w:sz w:val="22"/>
          <w:szCs w:val="22"/>
        </w:rPr>
        <w:t xml:space="preserve">Implication for Clear Current: </w:t>
      </w:r>
      <w:r>
        <w:rPr>
          <w:rFonts w:ascii="Arial" w:cs="Arial" w:eastAsia="Arial" w:hAnsi="Arial"/>
          <w:sz w:val="22"/>
          <w:szCs w:val="22"/>
        </w:rPr>
        <w:t xml:space="preserve">Clear Current should consider how its outputs connect to financial systems, not just energy systems. If the platform can export budget-ready data or integrate with university ERP/financial platforms, that addresses a pain point the finance user cares about more than the chat interface.</w:t>
      </w:r>
    </w:p>
    <w:p>
      <w:pPr>
        <w:pStyle w:val="Heading1"/>
      </w:pPr>
      <w:r>
        <w:rPr>
          <w:rFonts w:ascii="Arial" w:cs="Arial" w:eastAsia="Arial" w:hAnsi="Arial"/>
        </w:rPr>
        <w:t xml:space="preserve">4. Annual Budgeting Cycle - UT Austin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0D0D0" w:sz="1"/>
              <w:left w:val="single" w:color="D0D0D0" w:sz="1"/>
              <w:bottom w:val="single" w:color="D0D0D0" w:sz="1"/>
              <w:right w:val="single" w:color="D0D0D0" w:sz="1"/>
            </w:tcBorders>
            <w:shd w:fill="0A1628" w:val="clear"/>
            <w:tcMar>
              <w:top w:type="dxa" w:w="80"/>
              <w:left w:type="dxa" w:w="120"/>
              <w:bottom w:type="dxa" w:w="80"/>
              <w:right w:type="dxa" w:w="120"/>
            </w:tcMar>
          </w:tcPr>
          <w:p>
            <w:r>
              <w:rPr>
                <w:rFonts w:ascii="Arial" w:cs="Arial" w:eastAsia="Arial" w:hAnsi="Arial"/>
                <w:b/>
                <w:bCs/>
                <w:color w:val="FFFFFF"/>
                <w:sz w:val="21"/>
                <w:szCs w:val="21"/>
              </w:rPr>
              <w:t xml:space="preserve">Period</w:t>
            </w:r>
          </w:p>
        </w:tc>
        <w:tc>
          <w:tcPr>
            <w:tcW w:type="dxa" w:w="7360"/>
            <w:tcBorders>
              <w:top w:val="single" w:color="D0D0D0" w:sz="1"/>
              <w:left w:val="single" w:color="D0D0D0" w:sz="1"/>
              <w:bottom w:val="single" w:color="D0D0D0" w:sz="1"/>
              <w:right w:val="single" w:color="D0D0D0" w:sz="1"/>
            </w:tcBorders>
            <w:shd w:fill="0A1628" w:val="clear"/>
            <w:tcMar>
              <w:top w:type="dxa" w:w="80"/>
              <w:left w:type="dxa" w:w="120"/>
              <w:bottom w:type="dxa" w:w="80"/>
              <w:right w:type="dxa" w:w="120"/>
            </w:tcMar>
          </w:tcPr>
          <w:p>
            <w:r>
              <w:rPr>
                <w:rFonts w:ascii="Arial" w:cs="Arial" w:eastAsia="Arial" w:hAnsi="Arial"/>
                <w:b/>
                <w:bCs/>
                <w:color w:val="FFFFFF"/>
                <w:sz w:val="21"/>
                <w:szCs w:val="21"/>
              </w:rPr>
              <w:t xml:space="preserve">Activity</w:t>
            </w:r>
          </w:p>
        </w:tc>
      </w:tr>
      <w:tr>
        <w:tc>
          <w:tcPr>
            <w:tcW w:type="dxa" w:w="200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b/>
                <w:bCs/>
                <w:sz w:val="21"/>
                <w:szCs w:val="21"/>
              </w:rPr>
              <w:t xml:space="preserve">October</w:t>
            </w:r>
          </w:p>
        </w:tc>
        <w:tc>
          <w:tcPr>
            <w:tcW w:type="dxa" w:w="736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sz w:val="21"/>
                <w:szCs w:val="21"/>
              </w:rPr>
              <w:t xml:space="preserve">Budget planning begins for the next fiscal year. Finance team assembles cost components: fuel forecasts, staffing levels, salary/wages, new building projections, distribution project costs.</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sz w:val="21"/>
                <w:szCs w:val="21"/>
              </w:rPr>
              <w:t xml:space="preserve">Oct - Feb</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Ongoing budget development. Five-year forecast built alongside the annual budget. Fuel hedging strategy reviewed and executed. Pro formas compiled for capital projects.</w:t>
            </w:r>
          </w:p>
        </w:tc>
      </w:tr>
      <w:tr>
        <w:tc>
          <w:tcPr>
            <w:tcW w:type="dxa" w:w="200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b/>
                <w:bCs/>
                <w:sz w:val="21"/>
                <w:szCs w:val="21"/>
              </w:rPr>
              <w:t xml:space="preserve">March</w:t>
            </w:r>
          </w:p>
        </w:tc>
        <w:tc>
          <w:tcPr>
            <w:tcW w:type="dxa" w:w="736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sz w:val="21"/>
                <w:szCs w:val="21"/>
              </w:rPr>
              <w:t xml:space="preserve">Budgets delivered. However, City of Austin rate changes are often not known until after budget submission, creating a forecasting gap.</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sz w:val="21"/>
                <w:szCs w:val="21"/>
              </w:rPr>
              <w:t xml:space="preserve">Sep 1</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New fiscal year begins. Approved budgets take effect.</w:t>
            </w:r>
          </w:p>
        </w:tc>
      </w:tr>
      <w:tr>
        <w:tc>
          <w:tcPr>
            <w:tcW w:type="dxa" w:w="200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b/>
                <w:bCs/>
                <w:sz w:val="21"/>
                <w:szCs w:val="21"/>
              </w:rPr>
              <w:t xml:space="preserve">Ongoing</w:t>
            </w:r>
          </w:p>
        </w:tc>
        <w:tc>
          <w:tcPr>
            <w:tcW w:type="dxa" w:w="736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sz w:val="21"/>
                <w:szCs w:val="21"/>
              </w:rPr>
              <w:t xml:space="preserve">Monthly: pulling reports, running trends, comparing similar facilities for forecasting. Continuous: validation of purchased utility bills. Multi-year: fuel hedging strategy, capital planning.</w:t>
            </w:r>
          </w:p>
        </w:tc>
      </w:tr>
    </w:tbl>
    <w:p>
      <w:pPr>
        <w:spacing w:after="80" w:before="0"/>
      </w:pPr>
    </w:p>
    <w:p>
      <w:pPr>
        <w:spacing w:after="100" w:before="0"/>
      </w:pPr>
      <w:r>
        <w:rPr>
          <w:rFonts w:ascii="Arial" w:cs="Arial" w:eastAsia="Arial" w:hAnsi="Arial"/>
          <w:b w:val="false"/>
          <w:bCs w:val="false"/>
          <w:sz w:val="22"/>
          <w:szCs w:val="22"/>
        </w:rPr>
        <w:t xml:space="preserve">Key pain point: City of Austin rate changes are often finalized after UT Austin has already submitted its budget. Regulatory intelligence would directly address this by giving the finance team advance visibility into rate changes before they're finalized.</w:t>
      </w:r>
    </w:p>
    <w:p>
      <w:pPr>
        <w:pStyle w:val="Heading1"/>
      </w:pPr>
      <w:r>
        <w:rPr>
          <w:rFonts w:ascii="Arial" w:cs="Arial" w:eastAsia="Arial" w:hAnsi="Arial"/>
        </w:rPr>
        <w:t xml:space="preserve">5. Follow-Up Contacts</w:t>
      </w:r>
    </w:p>
    <w:p>
      <w:pPr>
        <w:spacing w:after="100" w:before="0"/>
      </w:pPr>
      <w:r>
        <w:rPr>
          <w:rFonts w:ascii="Arial" w:cs="Arial" w:eastAsia="Arial" w:hAnsi="Arial"/>
          <w:sz w:val="22"/>
          <w:szCs w:val="22"/>
        </w:rPr>
        <w:t xml:space="preserve">Andi offered to connect the team with the operations and engineering side of UEM:</w:t>
      </w:r>
    </w:p>
    <w:p>
      <w:pPr>
        <w:pStyle w:val="ListParagraph"/>
        <w:numPr>
          <w:ilvl w:val="0"/>
          <w:numId w:val="2"/>
        </w:numPr>
        <w:spacing w:after="40" w:before="40"/>
      </w:pPr>
      <w:r>
        <w:rPr>
          <w:rFonts w:ascii="Arial" w:cs="Arial" w:eastAsia="Arial" w:hAnsi="Arial"/>
          <w:b/>
          <w:bCs/>
          <w:sz w:val="22"/>
          <w:szCs w:val="22"/>
        </w:rPr>
        <w:t xml:space="preserve">Ryan Thompson </w:t>
      </w:r>
      <w:r>
        <w:rPr>
          <w:rFonts w:ascii="Arial" w:cs="Arial" w:eastAsia="Arial" w:hAnsi="Arial"/>
          <w:sz w:val="22"/>
          <w:szCs w:val="22"/>
        </w:rPr>
        <w:t xml:space="preserve">Executive Director, Utilities &amp; Energy Management. Already on the outreach list; has not responded to emails.</w:t>
      </w:r>
    </w:p>
    <w:p>
      <w:pPr>
        <w:pStyle w:val="ListParagraph"/>
        <w:numPr>
          <w:ilvl w:val="0"/>
          <w:numId w:val="2"/>
        </w:numPr>
        <w:spacing w:after="40" w:before="40"/>
      </w:pPr>
      <w:r>
        <w:rPr>
          <w:rFonts w:ascii="Arial" w:cs="Arial" w:eastAsia="Arial" w:hAnsi="Arial"/>
          <w:b/>
          <w:bCs/>
          <w:sz w:val="22"/>
          <w:szCs w:val="22"/>
        </w:rPr>
        <w:t xml:space="preserve">Troy Nevels </w:t>
      </w:r>
      <w:r>
        <w:rPr>
          <w:rFonts w:ascii="Arial" w:cs="Arial" w:eastAsia="Arial" w:hAnsi="Arial"/>
          <w:sz w:val="22"/>
          <w:szCs w:val="22"/>
        </w:rPr>
        <w:t xml:space="preserve">leader of a group Andi described as 'the most helpful' for energy management and operations questions. Andi will make the introduction.</w:t>
      </w:r>
    </w:p>
    <w:p>
      <w:pPr>
        <w:pStyle w:val="ListParagraph"/>
        <w:numPr>
          <w:ilvl w:val="0"/>
          <w:numId w:val="2"/>
        </w:numPr>
        <w:spacing w:after="40" w:before="40"/>
      </w:pPr>
      <w:r>
        <w:rPr>
          <w:rFonts w:ascii="Arial" w:cs="Arial" w:eastAsia="Arial" w:hAnsi="Arial"/>
          <w:b/>
          <w:bCs/>
          <w:sz w:val="22"/>
          <w:szCs w:val="22"/>
        </w:rPr>
        <w:t xml:space="preserve">M. Kai and Roberto </w:t>
      </w:r>
      <w:r>
        <w:rPr>
          <w:rFonts w:ascii="Arial" w:cs="Arial" w:eastAsia="Arial" w:hAnsi="Arial"/>
          <w:sz w:val="22"/>
          <w:szCs w:val="22"/>
        </w:rPr>
        <w:t xml:space="preserve">other contacts on the original email thread who Andi confirmed are 'definitely the right people' for energy operations questions.</w:t>
      </w:r>
    </w:p>
    <w:p>
      <w:pPr>
        <w:pStyle w:val="Heading1"/>
      </w:pPr>
      <w:r>
        <w:rPr>
          <w:rFonts w:ascii="Arial" w:cs="Arial" w:eastAsia="Arial" w:hAnsi="Arial"/>
        </w:rPr>
        <w:t xml:space="preserve">6. Strategic Recommendations for Dan &amp; John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4"/>
              <w:left w:val="single" w:color="0A1628" w:sz="4"/>
              <w:bottom w:val="single" w:color="0A1628" w:sz="4"/>
              <w:right w:val="single" w:color="0A1628" w:sz="4"/>
            </w:tcBorders>
            <w:shd w:fill="EBF0F8" w:val="clear"/>
            <w:tcMar>
              <w:top w:type="dxa" w:w="120"/>
              <w:left w:type="dxa" w:w="160"/>
              <w:bottom w:type="dxa" w:w="120"/>
              <w:right w:type="dxa" w:w="160"/>
            </w:tcMar>
          </w:tcPr>
          <w:p>
            <w:pPr>
              <w:spacing w:after="40" w:before="0"/>
            </w:pPr>
            <w:r>
              <w:rPr>
                <w:rFonts w:ascii="Arial" w:cs="Arial" w:eastAsia="Arial" w:hAnsi="Arial"/>
                <w:b/>
                <w:bCs/>
                <w:color w:val="0A1628"/>
                <w:sz w:val="21"/>
                <w:szCs w:val="21"/>
              </w:rPr>
              <w:t xml:space="preserve">Recommendation 1: Design Finance-Specific Outputs, Not Just Chat</w:t>
            </w:r>
          </w:p>
          <w:p>
            <w:pPr>
              <w:spacing w:after="0" w:before="0"/>
            </w:pPr>
            <w:r>
              <w:rPr>
                <w:rFonts w:ascii="Arial" w:cs="Arial" w:eastAsia="Arial" w:hAnsi="Arial"/>
                <w:sz w:val="21"/>
                <w:szCs w:val="21"/>
              </w:rPr>
              <w:t xml:space="preserve">Andi confirmed that the finance user does not want to chat with energy data - she wants anomalies flagged and shareable reports generated automatically. Clear Current's product for the finance persona should emphasize the Push to User dashboard and automated report generation, not the chat interface. The chat is for the energy expert; the finance user wants outputs.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4"/>
              <w:left w:val="single" w:color="0A1628" w:sz="4"/>
              <w:bottom w:val="single" w:color="0A1628" w:sz="4"/>
              <w:right w:val="single" w:color="0A1628" w:sz="4"/>
            </w:tcBorders>
            <w:shd w:fill="EBF0F8" w:val="clear"/>
            <w:tcMar>
              <w:top w:type="dxa" w:w="120"/>
              <w:left w:type="dxa" w:w="160"/>
              <w:bottom w:type="dxa" w:w="120"/>
              <w:right w:type="dxa" w:w="160"/>
            </w:tcMar>
          </w:tcPr>
          <w:p>
            <w:pPr>
              <w:spacing w:after="40" w:before="0"/>
            </w:pPr>
            <w:r>
              <w:rPr>
                <w:rFonts w:ascii="Arial" w:cs="Arial" w:eastAsia="Arial" w:hAnsi="Arial"/>
                <w:b/>
                <w:bCs/>
                <w:color w:val="0A1628"/>
                <w:sz w:val="21"/>
                <w:szCs w:val="21"/>
              </w:rPr>
              <w:t xml:space="preserve">Recommendation 2: Build Rate Anomaly Detection Across Comparable Buildings</w:t>
            </w:r>
          </w:p>
          <w:p>
            <w:pPr>
              <w:spacing w:after="0" w:before="0"/>
            </w:pPr>
            <w:r>
              <w:rPr>
                <w:rFonts w:ascii="Arial" w:cs="Arial" w:eastAsia="Arial" w:hAnsi="Arial"/>
                <w:sz w:val="21"/>
                <w:szCs w:val="21"/>
              </w:rPr>
              <w:t xml:space="preserve">Andi described a specific pain point: fixed vs. volumetric cost blending skews rates month to month, making it hard to tell if a building is being charged correctly without comparing it to an equivalent facility. If Clear Current can automatically flag when a building's blended rate deviates from comparable buildings, that is a finance-specific insight that directly addresses her workflow.</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4"/>
              <w:left w:val="single" w:color="0A1628" w:sz="4"/>
              <w:bottom w:val="single" w:color="0A1628" w:sz="4"/>
              <w:right w:val="single" w:color="0A1628" w:sz="4"/>
            </w:tcBorders>
            <w:shd w:fill="EBF0F8" w:val="clear"/>
            <w:tcMar>
              <w:top w:type="dxa" w:w="120"/>
              <w:left w:type="dxa" w:w="160"/>
              <w:bottom w:type="dxa" w:w="120"/>
              <w:right w:type="dxa" w:w="160"/>
            </w:tcMar>
          </w:tcPr>
          <w:p>
            <w:pPr>
              <w:spacing w:after="40" w:before="0"/>
            </w:pPr>
            <w:r>
              <w:rPr>
                <w:rFonts w:ascii="Arial" w:cs="Arial" w:eastAsia="Arial" w:hAnsi="Arial"/>
                <w:b/>
                <w:bCs/>
                <w:color w:val="0A1628"/>
                <w:sz w:val="21"/>
                <w:szCs w:val="21"/>
              </w:rPr>
              <w:t xml:space="preserve">Recommendation 3: Consider Financial System Integration as a Product Roadmap Item</w:t>
            </w:r>
          </w:p>
          <w:p>
            <w:pPr>
              <w:spacing w:after="0" w:before="0"/>
            </w:pPr>
            <w:r>
              <w:rPr>
                <w:rFonts w:ascii="Arial" w:cs="Arial" w:eastAsia="Arial" w:hAnsi="Arial"/>
                <w:sz w:val="21"/>
                <w:szCs w:val="21"/>
              </w:rPr>
              <w:t xml:space="preserve">Andi's #1 automation wish was not about energy tools - it was about financial systems. Her back-end financial infrastructure is outdated, and she wants budgets and forecasts integrated with or exportable to her financial system. Clear Current should consider how its outputs connect to ERP and financial platforms, not just energy platforms.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4"/>
              <w:left w:val="single" w:color="0A1628" w:sz="4"/>
              <w:bottom w:val="single" w:color="0A1628" w:sz="4"/>
              <w:right w:val="single" w:color="0A1628" w:sz="4"/>
            </w:tcBorders>
            <w:shd w:fill="EBF0F8" w:val="clear"/>
            <w:tcMar>
              <w:top w:type="dxa" w:w="120"/>
              <w:left w:type="dxa" w:w="160"/>
              <w:bottom w:type="dxa" w:w="120"/>
              <w:right w:type="dxa" w:w="160"/>
            </w:tcMar>
          </w:tcPr>
          <w:p>
            <w:pPr>
              <w:spacing w:after="40" w:before="0"/>
            </w:pPr>
            <w:r>
              <w:rPr>
                <w:rFonts w:ascii="Arial" w:cs="Arial" w:eastAsia="Arial" w:hAnsi="Arial"/>
                <w:b/>
                <w:bCs/>
                <w:color w:val="0A1628"/>
                <w:sz w:val="21"/>
                <w:szCs w:val="21"/>
              </w:rPr>
              <w:t xml:space="preserve">Recommendation 4: Use Regulatory Intelligence to Close the Budget Timing Gap</w:t>
            </w:r>
          </w:p>
          <w:p>
            <w:pPr>
              <w:spacing w:after="0" w:before="0"/>
            </w:pPr>
            <w:r>
              <w:rPr>
                <w:rFonts w:ascii="Arial" w:cs="Arial" w:eastAsia="Arial" w:hAnsi="Arial"/>
                <w:sz w:val="21"/>
                <w:szCs w:val="21"/>
              </w:rPr>
              <w:t xml:space="preserve">UT Austin submits its budget before knowing the City of Austin's final rates. If Clear Current can surface upcoming rate changes from PUC filings and utility board decisions before budget deadlines, it gives the finance user a forecasting advantage they currently lack.</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4"/>
              <w:left w:val="single" w:color="0A1628" w:sz="4"/>
              <w:bottom w:val="single" w:color="0A1628" w:sz="4"/>
              <w:right w:val="single" w:color="0A1628" w:sz="4"/>
            </w:tcBorders>
            <w:shd w:fill="EBF0F8" w:val="clear"/>
            <w:tcMar>
              <w:top w:type="dxa" w:w="120"/>
              <w:left w:type="dxa" w:w="160"/>
              <w:bottom w:type="dxa" w:w="120"/>
              <w:right w:type="dxa" w:w="160"/>
            </w:tcMar>
          </w:tcPr>
          <w:p>
            <w:pPr>
              <w:spacing w:after="40" w:before="0"/>
            </w:pPr>
            <w:r>
              <w:rPr>
                <w:rFonts w:ascii="Arial" w:cs="Arial" w:eastAsia="Arial" w:hAnsi="Arial"/>
                <w:b/>
                <w:bCs/>
                <w:color w:val="0A1628"/>
                <w:sz w:val="21"/>
                <w:szCs w:val="21"/>
              </w:rPr>
              <w:t xml:space="preserve">Recommendation 5: Pursue the Troy Nevels Introduction</w:t>
            </w:r>
          </w:p>
          <w:p>
            <w:pPr>
              <w:spacing w:after="0" w:before="0"/>
            </w:pPr>
            <w:r>
              <w:rPr>
                <w:rFonts w:ascii="Arial" w:cs="Arial" w:eastAsia="Arial" w:hAnsi="Arial"/>
                <w:sz w:val="21"/>
                <w:szCs w:val="21"/>
              </w:rPr>
              <w:t xml:space="preserve">Andi offered to connect the team with Troy Nevels, the operations-side leader she described as most helpful. A follow-up interview with his team would complete the UT Austin picture: Andi gave the finance perspective, and Troy's team can give the energy operations perspective at the same institution.</w:t>
            </w:r>
          </w:p>
        </w:tc>
      </w:tr>
    </w:tbl>
    <w:p>
      <w:pPr>
        <w:spacing w:after="160" w:before="0"/>
      </w:pPr>
    </w:p>
    <w:p>
      <w:pPr>
        <w:pBdr>
          <w:top w:val="single" w:color="F5C518" w:sz="4"/>
        </w:pBdr>
        <w:spacing w:after="0" w:before="200"/>
      </w:pPr>
    </w:p>
    <w:p>
      <w:pPr>
        <w:spacing w:after="20" w:before="80"/>
      </w:pPr>
      <w:r>
        <w:rPr>
          <w:rFonts w:ascii="Arial" w:cs="Arial" w:eastAsia="Arial" w:hAnsi="Arial"/>
          <w:b/>
          <w:bCs/>
          <w:color w:val="0A1628"/>
          <w:sz w:val="20"/>
          <w:szCs w:val="20"/>
        </w:rPr>
        <w:t xml:space="preserve">Prepared by Clayton Hester  |  CDL MBA Consulting Team</w:t>
      </w:r>
    </w:p>
    <w:p>
      <w:pPr>
        <w:spacing w:after="20" w:before="0"/>
      </w:pPr>
      <w:r>
        <w:rPr>
          <w:rFonts w:ascii="Arial" w:cs="Arial" w:eastAsia="Arial" w:hAnsi="Arial"/>
          <w:color w:val="444444"/>
          <w:sz w:val="20"/>
          <w:szCs w:val="20"/>
        </w:rPr>
        <w:t xml:space="preserve">Team: Clayton Hester, Adam Case, Jason Wisnieski, Victor Pan</w:t>
      </w:r>
    </w:p>
    <w:p>
      <w:pPr>
        <w:spacing w:after="0" w:before="0"/>
      </w:pPr>
      <w:r>
        <w:rPr>
          <w:rFonts w:ascii="Arial" w:cs="Arial" w:eastAsia="Arial" w:hAnsi="Arial"/>
          <w:color w:val="444444"/>
          <w:sz w:val="20"/>
          <w:szCs w:val="20"/>
        </w:rPr>
        <w:t xml:space="preserve">Clear Current Technologies  |  Dan Schreiber (CPO) &amp; John Reuter (CEO)</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0A1628"/>
      <w:sz w:val="32"/>
      <w:szCs w:val="32"/>
    </w:rPr>
  </w:style>
  <w:style w:type="paragraph" w:styleId="Heading2">
    <w:name w:val="Heading 2"/>
    <w:basedOn w:val="Normal"/>
    <w:next w:val="Normal"/>
    <w:qFormat/>
    <w:pPr>
      <w:spacing w:after="80" w:before="200"/>
      <w:outlineLvl w:val="1"/>
    </w:pPr>
    <w:rPr>
      <w:rFonts w:ascii="Arial" w:cs="Arial" w:eastAsia="Arial" w:hAnsi="Arial"/>
      <w:b/>
      <w:bCs/>
      <w:color w:val="0A1628"/>
      <w:sz w:val="24"/>
      <w:szCs w:val="24"/>
    </w:rPr>
  </w:style>
  <w:style w:type="paragraph" w:styleId="Heading3">
    <w:name w:val="Heading 3"/>
    <w:basedOn w:val="Normal"/>
    <w:next w:val="Normal"/>
    <w:qFormat/>
    <w:pPr>
      <w:spacing w:after="60" w:before="16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2026-04-09T21:13:23.623Z</dcterms:created>
  <dcterms:modified xsi:type="dcterms:W3CDTF">2026-04-09T21:13:23.624Z</dcterms:modified>
</cp:coreProperties>
</file>

<file path=docProps/custom.xml><?xml version="1.0" encoding="utf-8"?>
<Properties xmlns="http://schemas.openxmlformats.org/officeDocument/2006/custom-properties" xmlns:vt="http://schemas.openxmlformats.org/officeDocument/2006/docPropsVTypes"/>
</file>