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Ann Walston | Bon Secours Mercy Health</w:t>
      </w:r>
    </w:p>
    <w:p>
      <w:pPr>
        <w:spacing w:after="20" w:before="0"/>
        <w:jc w:val="center"/>
      </w:pPr>
      <w:r>
        <w:rPr>
          <w:rFonts w:ascii="Arial" w:cs="Arial" w:eastAsia="Arial" w:hAnsi="Arial"/>
          <w:color w:val="444444"/>
          <w:sz w:val="22"/>
          <w:szCs w:val="22"/>
        </w:rPr>
        <w:t xml:space="preserve">Vice President, Acute Care Facilities Management</w:t>
      </w:r>
    </w:p>
    <w:p>
      <w:pPr>
        <w:spacing w:after="200" w:before="0"/>
        <w:jc w:val="center"/>
      </w:pPr>
      <w:r>
        <w:rPr>
          <w:rFonts w:ascii="Arial" w:cs="Arial" w:eastAsia="Arial" w:hAnsi="Arial"/>
          <w:i/>
          <w:iCs/>
          <w:color w:val="777777"/>
          <w:sz w:val="20"/>
          <w:szCs w:val="20"/>
        </w:rPr>
        <w:t xml:space="preserve">Conducted by Clayton Hester  |  April 14,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Ann Walston is VP of Acute Care Facilities Management at Bon Secours Mercy Health, one of the nation's 20 largest health systems, overseeing 36 U.S.-owned hospitals. She is a recognized leader in healthcare sustainability, named a 2025 ASHE Sustainability Champion and widely cited in industry publications for BSMH's Energy Star achievements. Ann is a career facilities executive — she worked previously in a VP role at CBRE — and now manages the full spectrum of hospital facilities strategy including procurement, consumption management, energy budgeting, and third-party vendor relationships. Her interview is the most senior healthcare-specific voice in this research program, and the most specific source on how utility billing errors actually surface and get resolved at scale.</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Ann Walston</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Vice President, Acute Care Facilities Management</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Bon Secours Mercy Health (BSMH)</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Columbus, Ohio (HQ: Cincinnati, Ohio)</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Prior Experience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Senior facilities and real estate roles at CBRE; VP Facilities at other healthcare organizations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Tenure at BSMH</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~5 years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Hospitals</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36 fully owned U.S.-based acute care hospitals; 48 total including partnership and international (Ireland)</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Recognition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2025 ASHE Sustainability Champion; Energy Star Program advocate</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Third-Party Processor</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Get Choice (bill processing) — receives, enters, and analyzes all utility invoices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Interview Method</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Live call with Clayton Hester  |  April 14, 2026</w:t>
            </w:r>
          </w:p>
        </w:tc>
      </w:tr>
    </w:tbl>
    <w:p>
      <w:pPr>
        <w:spacing w:after="80" w:before="0"/>
      </w:pPr>
    </w:p>
    <w:p>
      <w:pPr>
        <w:spacing w:after="100" w:before="0"/>
      </w:pPr>
      <w:r>
        <w:rPr>
          <w:rFonts w:ascii="Arial" w:cs="Arial" w:eastAsia="Arial" w:hAnsi="Arial"/>
          <w:sz w:val="22"/>
          <w:szCs w:val="22"/>
        </w:rPr>
        <w:t xml:space="preserve">Ann's background is in facilities and real estate operations at enterprise scale, not energy engineering. She came to BSMH from CBRE and brings a business operator's perspective to energy management — focused on budgeting, procurement strategy, vendor relationships, and organizational accountability. She chairs a Utilities Procurement Steering Committee (UPSC) that sets hedging strategy for both natural gas and electricity. She was working on natural gas contract execution the same day as this interview.</w:t>
      </w:r>
    </w:p>
    <w:p>
      <w:pPr>
        <w:pStyle w:val="Heading1"/>
      </w:pPr>
      <w:r>
        <w:rPr>
          <w:rFonts w:ascii="Arial" w:cs="Arial" w:eastAsia="Arial" w:hAnsi="Arial"/>
        </w:rPr>
        <w:t xml:space="preserve">2. BSMH — Energy Operations at a Glance</w:t>
      </w:r>
    </w:p>
    <w:p>
      <w:pPr>
        <w:pStyle w:val="ListParagraph"/>
        <w:numPr>
          <w:ilvl w:val="0"/>
          <w:numId w:val="2"/>
        </w:numPr>
        <w:spacing w:after="40" w:before="40"/>
      </w:pPr>
      <w:r>
        <w:rPr>
          <w:rFonts w:ascii="Arial" w:cs="Arial" w:eastAsia="Arial" w:hAnsi="Arial"/>
          <w:sz w:val="22"/>
          <w:szCs w:val="22"/>
        </w:rPr>
        <w:t xml:space="preserve">36 fully owned U.S. hospitals; all electricity and natural gas purchased from the grid (no on-site generation)</w:t>
      </w:r>
    </w:p>
    <w:p>
      <w:pPr>
        <w:pStyle w:val="ListParagraph"/>
        <w:numPr>
          <w:ilvl w:val="0"/>
          <w:numId w:val="2"/>
        </w:numPr>
        <w:spacing w:after="40" w:before="40"/>
      </w:pPr>
      <w:r>
        <w:rPr>
          <w:rFonts w:ascii="Arial" w:cs="Arial" w:eastAsia="Arial" w:hAnsi="Arial"/>
          <w:sz w:val="22"/>
          <w:szCs w:val="22"/>
        </w:rPr>
        <w:t xml:space="preserve">Utilities Procurement Steering Committee (UPSC) sets procurement strategy quarterly; includes facilities and finance representatives, plus an external market consultant</w:t>
      </w:r>
    </w:p>
    <w:p>
      <w:pPr>
        <w:pStyle w:val="ListParagraph"/>
        <w:numPr>
          <w:ilvl w:val="0"/>
          <w:numId w:val="2"/>
        </w:numPr>
        <w:spacing w:after="40" w:before="40"/>
      </w:pPr>
      <w:r>
        <w:rPr>
          <w:rFonts w:ascii="Arial" w:cs="Arial" w:eastAsia="Arial" w:hAnsi="Arial"/>
          <w:sz w:val="22"/>
          <w:szCs w:val="22"/>
        </w:rPr>
        <w:t xml:space="preserve">Hedging strategy: BSMH layers hedges over time (e.g., 25% locked at one price point, then additional tranches as markets move) to achieve full-year price predictability</w:t>
      </w:r>
    </w:p>
    <w:p>
      <w:pPr>
        <w:pStyle w:val="ListParagraph"/>
        <w:numPr>
          <w:ilvl w:val="0"/>
          <w:numId w:val="2"/>
        </w:numPr>
        <w:spacing w:after="40" w:before="40"/>
      </w:pPr>
      <w:r>
        <w:rPr>
          <w:rFonts w:ascii="Arial" w:cs="Arial" w:eastAsia="Arial" w:hAnsi="Arial"/>
          <w:sz w:val="22"/>
          <w:szCs w:val="22"/>
        </w:rPr>
        <w:t xml:space="preserve">One certified energy manager on staff — responsible for building-level efficiency roadmaps and annual consumption reduction targets</w:t>
      </w:r>
    </w:p>
    <w:p>
      <w:pPr>
        <w:pStyle w:val="ListParagraph"/>
        <w:numPr>
          <w:ilvl w:val="0"/>
          <w:numId w:val="2"/>
        </w:numPr>
        <w:spacing w:after="40" w:before="40"/>
      </w:pPr>
      <w:r>
        <w:rPr>
          <w:rFonts w:ascii="Arial" w:cs="Arial" w:eastAsia="Arial" w:hAnsi="Arial"/>
          <w:sz w:val="22"/>
          <w:szCs w:val="22"/>
        </w:rPr>
        <w:t xml:space="preserve">All utility bills routed to third-party processor Get Choice, which receives, analyzes, and pays invoices</w:t>
      </w:r>
    </w:p>
    <w:p>
      <w:pPr>
        <w:pStyle w:val="ListParagraph"/>
        <w:numPr>
          <w:ilvl w:val="0"/>
          <w:numId w:val="2"/>
        </w:numPr>
        <w:spacing w:after="40" w:before="40"/>
      </w:pPr>
      <w:r>
        <w:rPr>
          <w:rFonts w:ascii="Arial" w:cs="Arial" w:eastAsia="Arial" w:hAnsi="Arial"/>
          <w:sz w:val="22"/>
          <w:szCs w:val="22"/>
        </w:rPr>
        <w:t xml:space="preserve">Energy Star program used as the primary measurement framework: each hospital has a 1-year, 5-year, and 10-year Energy Star target; scores update monthly as bills come in</w:t>
      </w:r>
    </w:p>
    <w:p>
      <w:pPr>
        <w:pStyle w:val="ListParagraph"/>
        <w:numPr>
          <w:ilvl w:val="0"/>
          <w:numId w:val="2"/>
        </w:numPr>
        <w:spacing w:after="40" w:before="40"/>
      </w:pPr>
      <w:r>
        <w:rPr>
          <w:rFonts w:ascii="Arial" w:cs="Arial" w:eastAsia="Arial" w:hAnsi="Arial"/>
          <w:sz w:val="22"/>
          <w:szCs w:val="22"/>
        </w:rPr>
        <w:t xml:space="preserve">Hospitals in Ireland are governed by statute on energy management and are described as more advanced than U.S. locations</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Finance Has Limited Levers — Hedging Is the One Proactive Tool</w:t>
      </w:r>
    </w:p>
    <w:p>
      <w:pPr>
        <w:spacing w:after="100" w:before="0"/>
      </w:pPr>
      <w:r>
        <w:rPr>
          <w:rFonts w:ascii="Arial" w:cs="Arial" w:eastAsia="Arial" w:hAnsi="Arial"/>
          <w:sz w:val="22"/>
          <w:szCs w:val="22"/>
        </w:rPr>
        <w:t xml:space="preserve">Ann drew a clear parallel to what Andi Ault described at UT Austin: the finance-side energy role is largely reactive, with hedging strategy as the primary means of controlling costs proactively. The day of this interview, BSMH was executing on natural gas supplier contracts that would enable a new round of hedges — with the market at favorable levels, she was deciding whether to lock in additional tranches.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 value predictability and pricing stability. Sometimes we pay a little bit of a premium for that, and we're okay with that."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confirms the finance-user pattern now seen across three healthcare systems and two universities: the person managing energy costs is primarily concerned with cost predictability, not operational efficiency. Clear Current's pitch to this persona should center on the regulatory intelligence and rate trend features that give the finance team forward visibility — not on the chat interface or anomaly detection, which are the energy manager's tools.</w:t>
      </w:r>
    </w:p>
    <w:p>
      <w:pPr>
        <w:pStyle w:val="Heading2"/>
      </w:pPr>
      <w:r>
        <w:rPr>
          <w:rFonts w:ascii="Arial" w:cs="Arial" w:eastAsia="Arial" w:hAnsi="Arial"/>
        </w:rPr>
        <w:t xml:space="preserve">3.2 Billing Errors Are Real — And Recovery Is Rare</w:t>
      </w:r>
    </w:p>
    <w:p>
      <w:pPr>
        <w:spacing w:after="100" w:before="0"/>
      </w:pPr>
      <w:r>
        <w:rPr>
          <w:rFonts w:ascii="Arial" w:cs="Arial" w:eastAsia="Arial" w:hAnsi="Arial"/>
          <w:sz w:val="22"/>
          <w:szCs w:val="22"/>
        </w:rPr>
        <w:t xml:space="preserve">Ann provided the most detailed and candid account of a major billing error recovery of any interviewee in this research program. Over her 10-12 years in energy procurement across multiple health systems, she has encountered two significant meter failures that resulted in millions of dollars of overbilling.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 recuperated over $1,000,000 from the utility company. And that is incredibly unheard of. I mean, that is incredibly rare."</w:t>
            </w:r>
          </w:p>
        </w:tc>
      </w:tr>
    </w:tbl>
    <w:p>
      <w:pPr>
        <w:spacing w:after="100" w:before="0"/>
      </w:pPr>
      <w:r>
        <w:rPr>
          <w:rFonts w:ascii="Arial" w:cs="Arial" w:eastAsia="Arial" w:hAnsi="Arial"/>
          <w:sz w:val="22"/>
          <w:szCs w:val="22"/>
        </w:rPr>
        <w:t xml:space="preserve">She described the first incident as approximately $5-6 million in overbilling, with partial recovery. The second was a $1 million recovery, achieved only because BSMH had board-level relationships with the utility company that could be escalated to resolve the disputed final portion.</w:t>
      </w:r>
    </w:p>
    <w:p>
      <w:pPr>
        <w:spacing w:after="100" w:before="0"/>
      </w:pPr>
      <w:r>
        <w:rPr>
          <w:rFonts w:ascii="Arial" w:cs="Arial" w:eastAsia="Arial" w:hAnsi="Arial"/>
          <w:sz w:val="22"/>
          <w:szCs w:val="22"/>
        </w:rPr>
        <w:t xml:space="preserve">Her description of the mechanics was revealing: the utility had received approximately $900,000 of the $1 million paid, but the remaining amount had 'gone into line losses' — a settlement mechanism where the exact dollars are difficult to trace. Recovery required board-to-board negotiation, not a standard dispute process.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the most concrete validation yet of the billing error recovery challenge that Marc Spieler flagged: it is not enough to identify the error. The utility must acknowledge it and issue a credit, and that process is political, not algorithmic. Clear Current's case studies need to document the full recovery cycle — error found, utility engaged, credit issued, dollars returned — not just the error identification. The Ann Walston example also shows that recovery is harder than finding the error. Healthcare organizations in particular may benefit from Clear Current's involvement in the utility engagement process, not just the analysis.</w:t>
      </w:r>
    </w:p>
    <w:p>
      <w:pPr>
        <w:pStyle w:val="Heading2"/>
      </w:pPr>
      <w:r>
        <w:rPr>
          <w:rFonts w:ascii="Arial" w:cs="Arial" w:eastAsia="Arial" w:hAnsi="Arial"/>
        </w:rPr>
        <w:t xml:space="preserve">3.3 Capacity Charges Are the Healthcare-Specific Pain Point</w:t>
      </w:r>
    </w:p>
    <w:p>
      <w:pPr>
        <w:spacing w:after="100" w:before="0"/>
      </w:pPr>
      <w:r>
        <w:rPr>
          <w:rFonts w:ascii="Arial" w:cs="Arial" w:eastAsia="Arial" w:hAnsi="Arial"/>
          <w:sz w:val="22"/>
          <w:szCs w:val="22"/>
        </w:rPr>
        <w:t xml:space="preserve">Ann unprompted raised capacity charges as the most urgent and least controllable billing issue for hospitals in the PJM region (the mid-Atlantic and Midwest grid operator). She described a tenfold increase in capacity charges over the prior two years — driven by data center construction in Ohio and neighboring states creating massive new load on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"Our capacity charges went up tenfold in the last two years and they're anticipating it to go up again. Short answer is data centers."</w:t>
            </w:r>
          </w:p>
        </w:tc>
      </w:tr>
    </w:tbl>
    <w:p>
      <w:pPr>
        <w:spacing w:after="100" w:before="0"/>
      </w:pPr>
      <w:r>
        <w:rPr>
          <w:rFonts w:ascii="Arial" w:cs="Arial" w:eastAsia="Arial" w:hAnsi="Arial"/>
          <w:sz w:val="22"/>
          <w:szCs w:val="22"/>
        </w:rPr>
        <w:t xml:space="preserve">The 15-minute interval demand peak — the same mechanism Don Johnson described in West Texas — sets capacity charge levels for healthcare institutions in PJM territory. Ann specifically noted that managing demand peaks in a hospital is structurally harder than in a commercial building: 'I'd really like you to do it after five... that's really a tough thing to manage versus when I worked outside of healthcare, we literally could push and pull our operations to manage the capacity charge.'</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a healthcare-specific capacity management insight that no other interviewee has provided. The 15-minute interval demand peak is a billing intelligence opportunity — but Clear Current should not position it as a 'reduce your peak' solution in healthcare, because hospitals cannot easily shed load. The correct positioning is: 'we identify when you're at risk of a capacity ratchet and surface the root cause, even if you can't change the behavior.' The value is documentation and regulatory awareness, not demand reduction.</w:t>
      </w:r>
    </w:p>
    <w:p>
      <w:pPr>
        <w:pStyle w:val="Heading2"/>
      </w:pPr>
      <w:r>
        <w:rPr>
          <w:rFonts w:ascii="Arial" w:cs="Arial" w:eastAsia="Arial" w:hAnsi="Arial"/>
        </w:rPr>
        <w:t xml:space="preserve">3.4 The Meter Mapping Problem — A Year's Worth of Work</w:t>
      </w:r>
    </w:p>
    <w:p>
      <w:pPr>
        <w:spacing w:after="100" w:before="0"/>
      </w:pPr>
      <w:r>
        <w:rPr>
          <w:rFonts w:ascii="Arial" w:cs="Arial" w:eastAsia="Arial" w:hAnsi="Arial"/>
          <w:sz w:val="22"/>
          <w:szCs w:val="22"/>
        </w:rPr>
        <w:t xml:space="preserve">Ann described a foundational data infrastructure challenge that has not appeared in any other interview: mapping meters to buildings. BSMH hospitals have grown through additions and expansions, often with multiple meters feeding a single building or a single meter partially serving multiple buildings. Establishing which meter feeds which wing of which hospital — a 'meter study' — took over a year for her team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"That was over a year's worth of work, just to identify who's got what... just to identify what's influencing what. Then you get into, okay, can I pay my bills on time?"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Before a healthcare system can use any energy intelligence platform effectively, they need to know which meter maps to which building and care area. Clear Current should consider whether it can assist with or accelerate meter-to-building mapping as part of onboarding, or whether this prerequisite work is a barrier that limits the short-term addressable market in healthcare. Systems with completed meter studies (like BSMH, after a year's effort) are ready buyers; systems that haven't done this work are not yet ready.</w:t>
      </w:r>
    </w:p>
    <w:p>
      <w:pPr>
        <w:pStyle w:val="Heading2"/>
      </w:pPr>
      <w:r>
        <w:rPr>
          <w:rFonts w:ascii="Arial" w:cs="Arial" w:eastAsia="Arial" w:hAnsi="Arial"/>
        </w:rPr>
        <w:t xml:space="preserve">3.5 The Single Energy Manager Constraint</w:t>
      </w:r>
    </w:p>
    <w:p>
      <w:pPr>
        <w:spacing w:after="100" w:before="0"/>
      </w:pPr>
      <w:r>
        <w:rPr>
          <w:rFonts w:ascii="Arial" w:cs="Arial" w:eastAsia="Arial" w:hAnsi="Arial"/>
          <w:sz w:val="22"/>
          <w:szCs w:val="22"/>
        </w:rPr>
        <w:t xml:space="preserve">BSMH has one certified energy manager responsible for 36 hospitals. He physically travels to each hospital, observes building systems, and builds facility-specific efficiency roadmaps. This is exactly the 'Fake Energy Manager' problem, but from the opposite direction — BSMH has a highly competent person in the role, but the staffing ratio makes systematic attention to any single location impossible.</w:t>
      </w:r>
    </w:p>
    <w:p>
      <w:pPr>
        <w:spacing w:after="100" w:before="0"/>
      </w:pPr>
      <w:r>
        <w:rPr>
          <w:rFonts w:ascii="Arial" w:cs="Arial" w:eastAsia="Arial" w:hAnsi="Arial"/>
          <w:sz w:val="22"/>
          <w:szCs w:val="22"/>
        </w:rPr>
        <w:t xml:space="preserve">When asked how she would prioritize an energy AI platform, Ann's answer aligned perfectly with the finance-user pattern identified earlier: she wants to know where to invest dollars for maximum efficiency impact across a 36-hospital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"In all reality, I would be looking for where to invest the dollars that I have to work on energy consumption reduction. Where's the most impact?"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the ROI prioritization use case: not 'what's wrong' but 'where should I spend money to fix things.' A platform that can rank a hospital portfolio by efficiency opportunity — accounting for Energy Star score, equipment age, capacity charge exposure, and historical billing anomalies — would give BSMH's single energy manager a data-driven work queue. That prioritization layer is the product BSMH needs, and currently cannot build themselves at scale.</w:t>
      </w:r>
    </w:p>
    <w:p>
      <w:pPr>
        <w:pStyle w:val="Heading1"/>
      </w:pPr>
      <w:r>
        <w:rPr>
          <w:rFonts w:ascii="Arial" w:cs="Arial" w:eastAsia="Arial" w:hAnsi="Arial"/>
        </w:rPr>
        <w:t xml:space="preserve">4. Annual Energy Management Calendar — BSMH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73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Activity</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Spring (Mar-May)</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Chillers come online (sometimes March, always by April). Shoulder season: free cooling utilized where possible. Boiler maintenance occurs over summer months.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Summer (Jun-Sep)</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Peak electricity consumption; chillers running full capacity. Boiler repairs and replacements take place — this is the off-season for heating equipment.</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Fall (Sep-Nov)</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Chillers shut down; boilers come back online. Shoulder season optimization: maximize outside air, minimize both heating and cooling energy.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Winter (Dec-Feb)</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Boilers running at peak. Cooling equipment maintenance and replacements occur — off-season for chillers.</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Quarterly</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UPSC (Utilities Procurement Steering Committee) meets to review market positions, hedging strategy, and procurement decisions for natural gas and electricity.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Ongoing</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Monthly Energy Star score updates per hospital as bills arrive. Continuous: building-level efficiency roadmap execution by the single certified energy manager. Annual: prior-year ESG/sustainability reporting.</w:t>
            </w:r>
          </w:p>
        </w:tc>
      </w:tr>
    </w:tbl>
    <w:p>
      <w:pPr>
        <w:spacing w:after="80" w:before="0"/>
      </w:pPr>
    </w:p>
    <w:p>
      <w:pPr>
        <w:spacing w:after="100" w:before="0"/>
      </w:pPr>
      <w:r>
        <w:rPr>
          <w:rFonts w:ascii="Arial" w:cs="Arial" w:eastAsia="Arial" w:hAnsi="Arial"/>
          <w:sz w:val="22"/>
          <w:szCs w:val="22"/>
        </w:rPr>
        <w:t xml:space="preserve">Key observation: Hospital load profiles are highly predictable — BSMH knows exactly when it will be running chillers, when it will need boilers, and what its seasonal consumption baseline should be. Deviations from this predictable profile are meaningful signals of equipment failure, meter errors, or billing irregularities.</w:t>
      </w:r>
    </w:p>
    <w:p>
      <w:pPr>
        <w:pStyle w:val="Heading1"/>
      </w:pPr>
      <w:r>
        <w:rPr>
          <w:rFonts w:ascii="Arial" w:cs="Arial" w:eastAsia="Arial" w:hAnsi="Arial"/>
        </w:rPr>
        <w:t xml:space="preserve">5.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Lead Healthcare Pitches with Billing Error Documentation, Not Just Detection</w:t>
            </w:r>
          </w:p>
          <w:p>
            <w:pPr>
              <w:spacing w:after="0" w:before="0"/>
            </w:pPr>
            <w:r>
              <w:rPr>
                <w:rFonts w:ascii="Arial" w:cs="Arial" w:eastAsia="Arial" w:hAnsi="Arial"/>
                <w:sz w:val="21"/>
                <w:szCs w:val="21"/>
              </w:rPr>
              <w:t xml:space="preserve">Ann's most vivid story was not about detecting an error — it was about recovering dollars after one. She fought for $1M+ over months, with board-level intervention, and still lost some. Clear Current's healthcare pitch should go beyond 'we find errors' to 'we document, quantify, and help you pursue recovery with the utility.' That's the value the VP of Facilities needs to take to her leadership team.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Build a Capacity Charge Intelligence Module for PJM/Northeast Customers</w:t>
            </w:r>
          </w:p>
          <w:p>
            <w:pPr>
              <w:spacing w:after="0" w:before="0"/>
            </w:pPr>
            <w:r>
              <w:rPr>
                <w:rFonts w:ascii="Arial" w:cs="Arial" w:eastAsia="Arial" w:hAnsi="Arial"/>
                <w:sz w:val="21"/>
                <w:szCs w:val="21"/>
              </w:rPr>
              <w:t xml:space="preserve">Ann's tenfold capacity charge increase driven by data center construction is a healthcare-specific pain point tied to the 15-minute interval demand peak. In healthcare, demand management isn't about behavioral changes — it's about knowing when you're at risk, understanding why, and surfacing it to the right people before the bill arrives. A proactive capacity alert module would resonate immediately with hospital systems in PJM territory.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Develop an Onboarding Framework for Meter Mapping</w:t>
            </w:r>
          </w:p>
          <w:p>
            <w:pPr>
              <w:spacing w:after="0" w:before="0"/>
            </w:pPr>
            <w:r>
              <w:rPr>
                <w:rFonts w:ascii="Arial" w:cs="Arial" w:eastAsia="Arial" w:hAnsi="Arial"/>
                <w:sz w:val="21"/>
                <w:szCs w:val="21"/>
              </w:rPr>
              <w:t xml:space="preserve">Ann spent a year mapping meters to buildings before she could get meaningful insights from her system. Clear Current should build an onboarding playbook that either assists with or accelerates this process — or be explicit in sales conversations about the prerequisite. For a new health system customer, the question 'do you have a completed meter-to-building map?' may be the single best qualification filter for who is ready to buy vs. who needs 12 months of prep work first.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Position Around Portfolio ROI Prioritization, Not Just Anomaly Alerts</w:t>
            </w:r>
          </w:p>
          <w:p>
            <w:pPr>
              <w:spacing w:after="0" w:before="0"/>
            </w:pPr>
            <w:r>
              <w:rPr>
                <w:rFonts w:ascii="Arial" w:cs="Arial" w:eastAsia="Arial" w:hAnsi="Arial"/>
                <w:sz w:val="21"/>
                <w:szCs w:val="21"/>
              </w:rPr>
              <w:t xml:space="preserve">Ann's #1 question is: where do I invest my limited dollars and my one energy manager's time for maximum efficiency impact? A feature that ranks hospitals by opportunity — combining Energy Star score trajectory, billing anomaly frequency, capacity charge exposure, and equipment age signals — would directly answer her question in a way that no current tool does.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5: Reference BSMH as Proof That Healthcare Is Ready for This Category</w:t>
            </w:r>
          </w:p>
          <w:p>
            <w:pPr>
              <w:spacing w:after="0" w:before="0"/>
            </w:pPr>
            <w:r>
              <w:rPr>
                <w:rFonts w:ascii="Arial" w:cs="Arial" w:eastAsia="Arial" w:hAnsi="Arial"/>
                <w:sz w:val="21"/>
                <w:szCs w:val="21"/>
              </w:rPr>
              <w:t xml:space="preserve">Ann asked to see the research output from this program. She acknowledged direct experience with meter-level billing errors resulting in $1M+ recovery conversations. She is interested in better tools. With appropriate permissions and sanitization, BSMH's use of an AI-powered anomaly detection system (Get Choice) as validation that healthcare has already accepted this category — and the door is open for platforms that go further.</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2026-04-14T22:27:16.721Z</dcterms:created>
  <dcterms:modified xsi:type="dcterms:W3CDTF">2026-04-14T22:27:16.721Z</dcterms:modified>
</cp:coreProperties>
</file>

<file path=docProps/custom.xml><?xml version="1.0" encoding="utf-8"?>
<Properties xmlns="http://schemas.openxmlformats.org/officeDocument/2006/custom-properties" xmlns:vt="http://schemas.openxmlformats.org/officeDocument/2006/docPropsVTypes"/>
</file>