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A1628"/>
          <w:sz w:val="36"/>
          <w:szCs w:val="36"/>
        </w:rPr>
        <w:t xml:space="preserve">Interview Summary</w:t>
      </w:r>
    </w:p>
    <w:p>
      <w:pPr>
        <w:spacing w:after="60"/>
      </w:pPr>
      <w:r>
        <w:rPr>
          <w:rFonts w:ascii="Arial" w:cs="Arial" w:eastAsia="Arial" w:hAnsi="Arial"/>
          <w:b/>
          <w:bCs/>
          <w:color w:val="0A1628"/>
          <w:sz w:val="28"/>
          <w:szCs w:val="28"/>
        </w:rPr>
        <w:t xml:space="preserve">Jamare Bates  |  JLL</w:t>
      </w:r>
    </w:p>
    <w:p>
      <w:pPr>
        <w:spacing w:after="60"/>
      </w:pPr>
      <w:r>
        <w:rPr>
          <w:rFonts w:ascii="Arial" w:cs="Arial" w:eastAsia="Arial" w:hAnsi="Arial"/>
          <w:color w:val="555555"/>
          <w:sz w:val="22"/>
          <w:szCs w:val="22"/>
        </w:rPr>
        <w:t xml:space="preserve">Vice President, Clean Energy &amp; Infrastructure Advisory</w:t>
      </w:r>
    </w:p>
    <w:p>
      <w:pPr>
        <w:spacing w:after="240"/>
      </w:pPr>
      <w:r>
        <w:rPr>
          <w:rFonts w:ascii="Arial" w:cs="Arial" w:eastAsia="Arial" w:hAnsi="Arial"/>
          <w:color w:val="555555"/>
          <w:sz w:val="20"/>
          <w:szCs w:val="20"/>
        </w:rPr>
        <w:t xml:space="preserve">Conducted by Clayton Hester &amp; Victor Pan  |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0A1628" w:val="clear"/>
            <w:tcMar>
              <w:top w:type="dxa" w:w="160"/>
              <w:left w:type="dxa" w:w="200"/>
              <w:bottom w:type="dxa" w:w="160"/>
              <w:right w:type="dxa" w:w="200"/>
            </w:tcMar>
          </w:tcPr>
          <w:p>
            <w:r>
              <w:rPr>
                <w:rFonts w:ascii="Arial" w:cs="Arial" w:eastAsia="Arial" w:hAnsi="Arial"/>
                <w:b/>
                <w:bCs/>
                <w:color w:val="F5C518"/>
                <w:sz w:val="22"/>
                <w:szCs w:val="22"/>
              </w:rPr>
              <w:t xml:space="preserve">Why This Interview Matters</w:t>
            </w:r>
          </w:p>
          <w:p>
            <w:pPr>
              <w:spacing w:before="80"/>
            </w:pPr>
            <w:r>
              <w:rPr>
                <w:rFonts w:ascii="Arial" w:cs="Arial" w:eastAsia="Arial" w:hAnsi="Arial"/>
                <w:color w:val="FFFFFF"/>
                <w:sz w:val="19"/>
                <w:szCs w:val="19"/>
              </w:rPr>
              <w:t xml:space="preserve">Jamare Bates is a Vice President on JLL’s Clean Energy &amp; Infrastructure Advisory team, one of the most prominent commercial real estate advisory firms in the world with over 100,000 employees globally. His background spans 25 years of engineering, federal program management, and clean energy advisory work, giving him a rare cross-sector lens on how large institutions actually buy and deploy energy solutions. His team advises Fortune 500 companies, federal agencies, and higher education institutions on decarbonization, EV fleet transition, and energy efficiency, placing him in direct contact with the types of organizations Clear Current is targeting. This interview surfaces critical intelligence on data access barriers, enterprise AI tool adoption patterns, market segmentation, and the competitive positioning of a purpose-built AI billing tool against the in-house capabilities that firms like JLL are already building.</w:t>
            </w:r>
          </w:p>
        </w:tc>
      </w:tr>
    </w:tbl>
    <w:p>
      <w:pPr>
        <w:spacing w:after="200"/>
      </w:pPr>
    </w:p>
    <w:p>
      <w:pPr>
        <w:spacing w:after="120" w:before="300"/>
      </w:pPr>
      <w:r>
        <w:rPr>
          <w:rFonts w:ascii="Arial" w:cs="Arial" w:eastAsia="Arial" w:hAnsi="Arial"/>
          <w:b/>
          <w:bCs/>
          <w:color w:val="0A1628"/>
          <w:sz w:val="26"/>
          <w:szCs w:val="26"/>
        </w:rPr>
        <w:t xml:space="preserve">1. Interviewee Profile</w:t>
      </w:r>
    </w:p>
    <w:p>
      <w:pPr>
        <w:pBdr>
          <w:bottom w:val="single" w:color="0A1628" w:sz="4"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Jamare Bates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Vice President, Clean Energy &amp; Infrastructure Advisory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Company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JLL (Jones Lang LaSalle)</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Washington, D.C. (hybrid)</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Reports 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Josephine Tucker, Managing Director &amp; Head of Clean Energy and Infrastructure Advisory</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Education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BS, Civil Engineering — Virginia Tech  |  MBA — George Washington University School of Business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Certifications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Licensed Professional Engineer (PE)  |  FAA-Certified Remote Unmanned Aircraft Vehicle (UAS) Pilot</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Tenure at JLL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July 2023 – Present (~3 years)</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Prior Experience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Black &amp; Veatch — ~10 years, led federal EV infrastructure initiative  |  Prior federal program management roles in infrastructure and horizontal construction</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Interview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Live call with Clayton Hester &amp; Victor Pan  |  April 2026</w:t>
            </w:r>
          </w:p>
        </w:tc>
      </w:tr>
      <w:tr>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Team Size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40+ energy and finance professionals on the Clean Energy &amp; Infrastructure Advisory team</w:t>
            </w:r>
          </w:p>
        </w:tc>
      </w:tr>
    </w:tbl>
    <w:p>
      <w:pPr>
        <w:spacing w:after="160"/>
      </w:pPr>
    </w:p>
    <w:p>
      <w:pPr>
        <w:spacing w:after="120"/>
      </w:pPr>
      <w:r>
        <w:rPr>
          <w:rFonts w:ascii="Arial" w:cs="Arial" w:eastAsia="Arial" w:hAnsi="Arial"/>
          <w:b w:val="false"/>
          <w:bCs w:val="false"/>
          <w:sz w:val="20"/>
          <w:szCs w:val="20"/>
        </w:rPr>
        <w:t xml:space="preserve">Jamare’s career path is unusual in this research program. He spent the first half of his career in horizontal construction and federal infrastructure — roads, bridges, highways, military installations — before pivoting into clean energy advisory. He spent a decade at Black &amp; Veatch building their federal EV infrastructure initiative from scratch, functioning as an entrepreneur within a large engineering firm. He joined JLL in July 2023 as part of a publicly announced expansion of JLL’s Clean Energy &amp; Infrastructure Advisory team, which was responding to surging demand from corporate and public sector clients.</w:t>
      </w:r>
    </w:p>
    <w:p>
      <w:pPr>
        <w:spacing w:after="120"/>
      </w:pPr>
      <w:r>
        <w:rPr>
          <w:rFonts w:ascii="Arial" w:cs="Arial" w:eastAsia="Arial" w:hAnsi="Arial"/>
          <w:b w:val="false"/>
          <w:bCs w:val="false"/>
          <w:sz w:val="20"/>
          <w:szCs w:val="20"/>
        </w:rPr>
        <w:t xml:space="preserve">His current focus at JLL spans two primary areas: energy savings and efficiency advisory for commercial real estate clients, and EV fleet conversion strategy. He works primarily with large private sector clients — Fortune 200 and Fortune 500 companies — though public sector clients, state and local governments, and higher education institutions are also part of his client base.</w:t>
      </w:r>
    </w:p>
    <w:p>
      <w:pPr>
        <w:spacing w:after="200"/>
      </w:pPr>
    </w:p>
    <w:p>
      <w:pPr>
        <w:spacing w:after="120" w:before="300"/>
      </w:pPr>
      <w:r>
        <w:rPr>
          <w:rFonts w:ascii="Arial" w:cs="Arial" w:eastAsia="Arial" w:hAnsi="Arial"/>
          <w:b/>
          <w:bCs/>
          <w:color w:val="0A1628"/>
          <w:sz w:val="26"/>
          <w:szCs w:val="26"/>
        </w:rPr>
        <w:t xml:space="preserve">2. Market Context &amp; Macro Framing</w:t>
      </w:r>
    </w:p>
    <w:p>
      <w:pPr>
        <w:pBdr>
          <w:bottom w:val="single" w:color="0A1628" w:sz="4" w:space="1"/>
        </w:pBdr>
        <w:spacing w:after="160"/>
      </w:pPr>
    </w:p>
    <w:p>
      <w:pPr>
        <w:spacing w:after="120"/>
      </w:pPr>
      <w:r>
        <w:rPr>
          <w:rFonts w:ascii="Arial" w:cs="Arial" w:eastAsia="Arial" w:hAnsi="Arial"/>
          <w:b w:val="false"/>
          <w:bCs w:val="false"/>
          <w:sz w:val="20"/>
          <w:szCs w:val="20"/>
        </w:rPr>
        <w:t xml:space="preserve">Jamare opened the interview with one of the most expansive macro framings offered by any interviewee in this research program. His perspective reflects a long career watching energy markets shift from a cost afterthought to a primary strategic constraint.</w:t>
      </w:r>
    </w:p>
    <w:p>
      <w:pPr>
        <w:spacing w:after="80" w:before="200"/>
      </w:pPr>
      <w:r>
        <w:rPr>
          <w:rFonts w:ascii="Arial" w:cs="Arial" w:eastAsia="Arial" w:hAnsi="Arial"/>
          <w:b/>
          <w:bCs/>
          <w:color w:val="333333"/>
          <w:sz w:val="22"/>
          <w:szCs w:val="22"/>
        </w:rPr>
        <w:t xml:space="preserve">2.1 Energy Is Becoming the #1 Site Selection Factor</w:t>
      </w:r>
    </w:p>
    <w:p>
      <w:pPr>
        <w:spacing w:after="120"/>
      </w:pPr>
      <w:r>
        <w:rPr>
          <w:rFonts w:ascii="Arial" w:cs="Arial" w:eastAsia="Arial" w:hAnsi="Arial"/>
          <w:b w:val="false"/>
          <w:bCs w:val="false"/>
          <w:sz w:val="20"/>
          <w:szCs w:val="20"/>
        </w:rPr>
        <w:t xml:space="preserve">Jamare described a fundamental shift in how corporations select real estate locations. Historically, the primary questions were about land cost and workforce availability. That calculus has changed:</w:t>
      </w:r>
    </w:p>
    <w:p>
      <w:pPr>
        <w:pStyle w:val="ListParagraph"/>
        <w:numPr>
          <w:ilvl w:val="0"/>
          <w:numId w:val="2"/>
        </w:numPr>
        <w:spacing w:after="80"/>
      </w:pPr>
      <w:r>
        <w:rPr>
          <w:rFonts w:ascii="Arial" w:cs="Arial" w:eastAsia="Arial" w:hAnsi="Arial"/>
          <w:sz w:val="20"/>
          <w:szCs w:val="20"/>
        </w:rPr>
        <w:t xml:space="preserve">The question now is: where is the cheapest energy? Workforce will follow.</w:t>
      </w:r>
    </w:p>
    <w:p>
      <w:pPr>
        <w:pStyle w:val="ListParagraph"/>
        <w:numPr>
          <w:ilvl w:val="0"/>
          <w:numId w:val="2"/>
        </w:numPr>
        <w:spacing w:after="80"/>
      </w:pPr>
      <w:r>
        <w:rPr>
          <w:rFonts w:ascii="Arial" w:cs="Arial" w:eastAsia="Arial" w:hAnsi="Arial"/>
          <w:sz w:val="20"/>
          <w:szCs w:val="20"/>
        </w:rPr>
        <w:t xml:space="preserve">Data centers and AI have driven exponential growth in energy demand, compared to what was historically a slow, steady annual increase.</w:t>
      </w:r>
    </w:p>
    <w:p>
      <w:pPr>
        <w:pStyle w:val="ListParagraph"/>
        <w:numPr>
          <w:ilvl w:val="0"/>
          <w:numId w:val="2"/>
        </w:numPr>
        <w:spacing w:after="80"/>
      </w:pPr>
      <w:r>
        <w:rPr>
          <w:rFonts w:ascii="Arial" w:cs="Arial" w:eastAsia="Arial" w:hAnsi="Arial"/>
          <w:sz w:val="20"/>
          <w:szCs w:val="20"/>
        </w:rPr>
        <w:t xml:space="preserve">Middle Eastern conflicts are accelerating energy cost pressures that JLL had been forecasting for two to three years. Clients who dismissed long-term energy risk are now flooding in looking for help.</w:t>
      </w:r>
    </w:p>
    <w:p>
      <w:pPr>
        <w:spacing w:after="120"/>
      </w:pPr>
    </w:p>
    <w:p>
      <w:pPr>
        <w:spacing w:after="80" w:before="200"/>
      </w:pPr>
      <w:r>
        <w:rPr>
          <w:rFonts w:ascii="Arial" w:cs="Arial" w:eastAsia="Arial" w:hAnsi="Arial"/>
          <w:b/>
          <w:bCs/>
          <w:color w:val="333333"/>
          <w:sz w:val="22"/>
          <w:szCs w:val="22"/>
        </w:rPr>
        <w:t xml:space="preserve">2.2 The Antiquated Facilities Problem</w:t>
      </w:r>
    </w:p>
    <w:p>
      <w:pPr>
        <w:spacing w:after="120"/>
      </w:pPr>
      <w:r>
        <w:rPr>
          <w:rFonts w:ascii="Arial" w:cs="Arial" w:eastAsia="Arial" w:hAnsi="Arial"/>
          <w:b w:val="false"/>
          <w:bCs w:val="false"/>
          <w:sz w:val="20"/>
          <w:szCs w:val="20"/>
        </w:rPr>
        <w:t xml:space="preserve">Jamare described a structural energy efficiency gap across the U.S. commercial real estate portfolio:</w:t>
      </w:r>
    </w:p>
    <w:p>
      <w:pPr>
        <w:pStyle w:val="ListParagraph"/>
        <w:numPr>
          <w:ilvl w:val="0"/>
          <w:numId w:val="2"/>
        </w:numPr>
        <w:spacing w:after="80"/>
      </w:pPr>
      <w:r>
        <w:rPr>
          <w:rFonts w:ascii="Arial" w:cs="Arial" w:eastAsia="Arial" w:hAnsi="Arial"/>
          <w:sz w:val="20"/>
          <w:szCs w:val="20"/>
        </w:rPr>
        <w:t xml:space="preserve">Most U.S. commercial real estate has been managed under a retrofit-first strategy, meaning buildings are upgraded incrementally rather than replaced or overhauled.</w:t>
      </w:r>
    </w:p>
    <w:p>
      <w:pPr>
        <w:pStyle w:val="ListParagraph"/>
        <w:numPr>
          <w:ilvl w:val="0"/>
          <w:numId w:val="2"/>
        </w:numPr>
        <w:spacing w:after="80"/>
      </w:pPr>
      <w:r>
        <w:rPr>
          <w:rFonts w:ascii="Arial" w:cs="Arial" w:eastAsia="Arial" w:hAnsi="Arial"/>
          <w:sz w:val="20"/>
          <w:szCs w:val="20"/>
        </w:rPr>
        <w:t xml:space="preserve">Legacy buildings were built when energy was cheap, so efficiency was never a primary design constraint. A building that was 70% efficient was acceptable when energy costs were low.</w:t>
      </w:r>
    </w:p>
    <w:p>
      <w:pPr>
        <w:pStyle w:val="ListParagraph"/>
        <w:numPr>
          <w:ilvl w:val="0"/>
          <w:numId w:val="2"/>
        </w:numPr>
        <w:spacing w:after="80"/>
      </w:pPr>
      <w:r>
        <w:rPr>
          <w:rFonts w:ascii="Arial" w:cs="Arial" w:eastAsia="Arial" w:hAnsi="Arial"/>
          <w:sz w:val="20"/>
          <w:szCs w:val="20"/>
        </w:rPr>
        <w:t xml:space="preserve">Now that energy costs have escalated sharply, the inefficiency of those buildings has become a major financial liability — and many clients are locked into multi-year leases with no easy exit.</w:t>
      </w:r>
    </w:p>
    <w:p>
      <w:pPr>
        <w:pStyle w:val="ListParagraph"/>
        <w:numPr>
          <w:ilvl w:val="0"/>
          <w:numId w:val="2"/>
        </w:numPr>
        <w:spacing w:after="80"/>
      </w:pPr>
      <w:r>
        <w:rPr>
          <w:rFonts w:ascii="Arial" w:cs="Arial" w:eastAsia="Arial" w:hAnsi="Arial"/>
          <w:sz w:val="20"/>
          <w:szCs w:val="20"/>
        </w:rPr>
        <w:t xml:space="preserve">The office vacancy crisis compounds this: buildings that are 35% occupied are losing money, while the cost to retrofit them to Class A standard (to attract tenants back) is often prohibitive.</w:t>
      </w:r>
    </w:p>
    <w:p>
      <w:pPr>
        <w:spacing w:after="200"/>
      </w:pPr>
    </w:p>
    <w:p>
      <w:pPr>
        <w:spacing w:after="120" w:before="300"/>
      </w:pPr>
      <w:r>
        <w:rPr>
          <w:rFonts w:ascii="Arial" w:cs="Arial" w:eastAsia="Arial" w:hAnsi="Arial"/>
          <w:b/>
          <w:bCs/>
          <w:color w:val="0A1628"/>
          <w:sz w:val="26"/>
          <w:szCs w:val="26"/>
        </w:rPr>
        <w:t xml:space="preserve">3. JLL’s Energy Advisory Practice</w:t>
      </w:r>
    </w:p>
    <w:p>
      <w:pPr>
        <w:pBdr>
          <w:bottom w:val="single" w:color="0A1628" w:sz="4" w:space="1"/>
        </w:pBdr>
        <w:spacing w:after="160"/>
      </w:pPr>
    </w:p>
    <w:p>
      <w:pPr>
        <w:spacing w:after="80" w:before="200"/>
      </w:pPr>
      <w:r>
        <w:rPr>
          <w:rFonts w:ascii="Arial" w:cs="Arial" w:eastAsia="Arial" w:hAnsi="Arial"/>
          <w:b/>
          <w:bCs/>
          <w:color w:val="333333"/>
          <w:sz w:val="22"/>
          <w:szCs w:val="22"/>
        </w:rPr>
        <w:t xml:space="preserve">3.1 Team Origin and Mandate</w:t>
      </w:r>
    </w:p>
    <w:p>
      <w:pPr>
        <w:spacing w:after="120"/>
      </w:pPr>
      <w:r>
        <w:rPr>
          <w:rFonts w:ascii="Arial" w:cs="Arial" w:eastAsia="Arial" w:hAnsi="Arial"/>
          <w:b w:val="false"/>
          <w:bCs w:val="false"/>
          <w:sz w:val="20"/>
          <w:szCs w:val="20"/>
        </w:rPr>
        <w:t xml:space="preserve">JLL’s Clean Energy &amp; Infrastructure Advisory team is relatively new — six to eight years old in its current form. It was stood up in the 2016–2018 timeframe in response to the early growth of the EV market and shifting client questions about clean energy infrastructure. The team now has 40+ energy and finance professionals.</w:t>
      </w:r>
    </w:p>
    <w:p>
      <w:pPr>
        <w:spacing w:after="120"/>
      </w:pPr>
      <w:r>
        <w:rPr>
          <w:rFonts w:ascii="Arial" w:cs="Arial" w:eastAsia="Arial" w:hAnsi="Arial"/>
          <w:b w:val="false"/>
          <w:bCs w:val="false"/>
          <w:sz w:val="20"/>
          <w:szCs w:val="20"/>
        </w:rPr>
        <w:t xml:space="preserve">JLL’s rationale for building in-house expertise rather than outsourcing it is straightforward: every piece of real estate requires energy, and clients were asking questions that required deep technical expertise. Rather than referring clients elsewhere, JLL chose to build the capability internally.</w:t>
      </w:r>
    </w:p>
    <w:p>
      <w:pPr>
        <w:spacing w:after="80" w:before="200"/>
      </w:pPr>
      <w:r>
        <w:rPr>
          <w:rFonts w:ascii="Arial" w:cs="Arial" w:eastAsia="Arial" w:hAnsi="Arial"/>
          <w:b/>
          <w:bCs/>
          <w:color w:val="333333"/>
          <w:sz w:val="22"/>
          <w:szCs w:val="22"/>
        </w:rPr>
        <w:t xml:space="preserve">3.2 What the Team Actually Does</w:t>
      </w:r>
    </w:p>
    <w:p>
      <w:pPr>
        <w:pStyle w:val="ListParagraph"/>
        <w:numPr>
          <w:ilvl w:val="0"/>
          <w:numId w:val="2"/>
        </w:numPr>
        <w:spacing w:after="80"/>
      </w:pPr>
      <w:r>
        <w:rPr>
          <w:rFonts w:ascii="Arial" w:cs="Arial" w:eastAsia="Arial" w:hAnsi="Arial"/>
          <w:sz w:val="20"/>
          <w:szCs w:val="20"/>
        </w:rPr>
        <w:t xml:space="preserve">Energy savings advisory: identifying retrofit opportunities, demand reduction strategies, and efficiency upgrades</w:t>
      </w:r>
    </w:p>
    <w:p>
      <w:pPr>
        <w:pStyle w:val="ListParagraph"/>
        <w:numPr>
          <w:ilvl w:val="0"/>
          <w:numId w:val="2"/>
        </w:numPr>
        <w:spacing w:after="80"/>
      </w:pPr>
      <w:r>
        <w:rPr>
          <w:rFonts w:ascii="Arial" w:cs="Arial" w:eastAsia="Arial" w:hAnsi="Arial"/>
          <w:sz w:val="20"/>
          <w:szCs w:val="20"/>
        </w:rPr>
        <w:t xml:space="preserve">EV fleet conversion: advising corporate clients on transitioning vehicle fleets to electric, regardless of federal tax credit availability</w:t>
      </w:r>
    </w:p>
    <w:p>
      <w:pPr>
        <w:pStyle w:val="ListParagraph"/>
        <w:numPr>
          <w:ilvl w:val="0"/>
          <w:numId w:val="2"/>
        </w:numPr>
        <w:spacing w:after="80"/>
      </w:pPr>
      <w:r>
        <w:rPr>
          <w:rFonts w:ascii="Arial" w:cs="Arial" w:eastAsia="Arial" w:hAnsi="Arial"/>
          <w:sz w:val="20"/>
          <w:szCs w:val="20"/>
        </w:rPr>
        <w:t xml:space="preserve">Battery energy storage: advising on backup power and grid resilience solutions</w:t>
      </w:r>
    </w:p>
    <w:p>
      <w:pPr>
        <w:pStyle w:val="ListParagraph"/>
        <w:numPr>
          <w:ilvl w:val="0"/>
          <w:numId w:val="2"/>
        </w:numPr>
        <w:spacing w:after="80"/>
      </w:pPr>
      <w:r>
        <w:rPr>
          <w:rFonts w:ascii="Arial" w:cs="Arial" w:eastAsia="Arial" w:hAnsi="Arial"/>
          <w:sz w:val="20"/>
          <w:szCs w:val="20"/>
        </w:rPr>
        <w:t xml:space="preserve">Solar: advising building owners on rooftop and on-site solar deployment</w:t>
      </w:r>
    </w:p>
    <w:p>
      <w:pPr>
        <w:pStyle w:val="ListParagraph"/>
        <w:numPr>
          <w:ilvl w:val="0"/>
          <w:numId w:val="2"/>
        </w:numPr>
        <w:spacing w:after="80"/>
      </w:pPr>
      <w:r>
        <w:rPr>
          <w:rFonts w:ascii="Arial" w:cs="Arial" w:eastAsia="Arial" w:hAnsi="Arial"/>
          <w:sz w:val="20"/>
          <w:szCs w:val="20"/>
        </w:rPr>
        <w:t xml:space="preserve">P3 and project finance: advising on non-recourse financing, public-private partnerships, and municipal financings for infrastructure projects</w:t>
      </w:r>
    </w:p>
    <w:p>
      <w:pPr>
        <w:pStyle w:val="ListParagraph"/>
        <w:numPr>
          <w:ilvl w:val="0"/>
          <w:numId w:val="2"/>
        </w:numPr>
        <w:spacing w:after="80"/>
      </w:pPr>
      <w:r>
        <w:rPr>
          <w:rFonts w:ascii="Arial" w:cs="Arial" w:eastAsia="Arial" w:hAnsi="Arial"/>
          <w:sz w:val="20"/>
          <w:szCs w:val="20"/>
        </w:rPr>
        <w:t xml:space="preserve">Federal program management: JLL has won large multi-year contracts with federal agencies including HUD</w:t>
      </w:r>
    </w:p>
    <w:p>
      <w:pPr>
        <w:spacing w:after="120"/>
      </w:pPr>
    </w:p>
    <w:p>
      <w:pPr>
        <w:spacing w:after="80" w:before="200"/>
      </w:pPr>
      <w:r>
        <w:rPr>
          <w:rFonts w:ascii="Arial" w:cs="Arial" w:eastAsia="Arial" w:hAnsi="Arial"/>
          <w:b/>
          <w:bCs/>
          <w:color w:val="333333"/>
          <w:sz w:val="22"/>
          <w:szCs w:val="22"/>
        </w:rPr>
        <w:t xml:space="preserve">3.3 JLL’s In-House AI Tooling</w:t>
      </w:r>
    </w:p>
    <w:p>
      <w:pPr>
        <w:spacing w:after="120"/>
      </w:pPr>
      <w:r>
        <w:rPr>
          <w:rFonts w:ascii="Arial" w:cs="Arial" w:eastAsia="Arial" w:hAnsi="Arial"/>
          <w:b w:val="false"/>
          <w:bCs w:val="false"/>
          <w:sz w:val="20"/>
          <w:szCs w:val="20"/>
        </w:rPr>
        <w:t xml:space="preserve">This is the most important section for Clear Current’s positioning. Jamare confirmed that JLL has an internal technology division — JLL Technologies — that builds AI and data tools for the firm. JLL already has or is building tools that analyze utility and billing data for clients. Key details:</w:t>
      </w:r>
    </w:p>
    <w:p>
      <w:pPr>
        <w:pStyle w:val="ListParagraph"/>
        <w:numPr>
          <w:ilvl w:val="0"/>
          <w:numId w:val="2"/>
        </w:numPr>
        <w:spacing w:after="80"/>
      </w:pPr>
      <w:r>
        <w:rPr>
          <w:rFonts w:ascii="Arial" w:cs="Arial" w:eastAsia="Arial" w:hAnsi="Arial"/>
          <w:sz w:val="20"/>
          <w:szCs w:val="20"/>
        </w:rPr>
        <w:t xml:space="preserve">JLL has property management software, facility management software, and building automation system integrations that generate enormous volumes of operational and energy data.</w:t>
      </w:r>
    </w:p>
    <w:p>
      <w:pPr>
        <w:pStyle w:val="ListParagraph"/>
        <w:numPr>
          <w:ilvl w:val="0"/>
          <w:numId w:val="2"/>
        </w:numPr>
        <w:spacing w:after="80"/>
      </w:pPr>
      <w:r>
        <w:rPr>
          <w:rFonts w:ascii="Arial" w:cs="Arial" w:eastAsia="Arial" w:hAnsi="Arial"/>
          <w:sz w:val="20"/>
          <w:szCs w:val="20"/>
        </w:rPr>
        <w:t xml:space="preserve">JLL has found “millions and millions of dollars” in client savings using a suite of AI and human-in-the-loop tools — not a single tool, but an integrated stack.</w:t>
      </w:r>
    </w:p>
    <w:p>
      <w:pPr>
        <w:pStyle w:val="ListParagraph"/>
        <w:numPr>
          <w:ilvl w:val="0"/>
          <w:numId w:val="2"/>
        </w:numPr>
        <w:spacing w:after="80"/>
      </w:pPr>
      <w:r>
        <w:rPr>
          <w:rFonts w:ascii="Arial" w:cs="Arial" w:eastAsia="Arial" w:hAnsi="Arial"/>
          <w:sz w:val="20"/>
          <w:szCs w:val="20"/>
        </w:rPr>
        <w:t xml:space="preserve">The ability to do this at scale exists because JLL already has the data. Managing client facilities and properties means they already hold the utility invoice history and consumption data.</w:t>
      </w:r>
    </w:p>
    <w:p>
      <w:pPr>
        <w:spacing w:after="120"/>
      </w:pPr>
      <w:r>
        <w:rPr>
          <w:rFonts w:ascii="Arial" w:cs="Arial" w:eastAsia="Arial" w:hAnsi="Arial"/>
          <w:b w:val="false"/>
          <w:bCs w:val="false"/>
          <w:sz w:val="20"/>
          <w:szCs w:val="20"/>
        </w:rPr>
        <w:t xml:space="preserve">Implication: At the JLL tier of the market, the conversation is not about whether to buy a point solution. It is about acquisition or enterprise licensing — and even then, the more likely outcome Jamare described is acquisition.</w:t>
      </w:r>
    </w:p>
    <w:p>
      <w:pPr>
        <w:spacing w:after="200"/>
      </w:pPr>
    </w:p>
    <w:p>
      <w:pPr>
        <w:spacing w:after="120" w:before="300"/>
      </w:pPr>
      <w:r>
        <w:rPr>
          <w:rFonts w:ascii="Arial" w:cs="Arial" w:eastAsia="Arial" w:hAnsi="Arial"/>
          <w:b/>
          <w:bCs/>
          <w:color w:val="0A1628"/>
          <w:sz w:val="26"/>
          <w:szCs w:val="26"/>
        </w:rPr>
        <w:t xml:space="preserve">4. Clear Current Fit Assessment</w:t>
      </w:r>
    </w:p>
    <w:p>
      <w:pPr>
        <w:pBdr>
          <w:bottom w:val="single" w:color="0A1628" w:sz="4" w:space="1"/>
        </w:pBdr>
        <w:spacing w:after="160"/>
      </w:pPr>
    </w:p>
    <w:p>
      <w:pPr>
        <w:spacing w:after="80" w:before="200"/>
      </w:pPr>
      <w:r>
        <w:rPr>
          <w:rFonts w:ascii="Arial" w:cs="Arial" w:eastAsia="Arial" w:hAnsi="Arial"/>
          <w:b/>
          <w:bCs/>
          <w:color w:val="333333"/>
          <w:sz w:val="22"/>
          <w:szCs w:val="22"/>
        </w:rPr>
        <w:t xml:space="preserve">4.1 Market Segmentation Framework (from Jamare)</w:t>
      </w:r>
    </w:p>
    <w:p>
      <w:pPr>
        <w:spacing w:after="120"/>
      </w:pPr>
      <w:r>
        <w:rPr>
          <w:rFonts w:ascii="Arial" w:cs="Arial" w:eastAsia="Arial" w:hAnsi="Arial"/>
          <w:b w:val="false"/>
          <w:bCs w:val="false"/>
          <w:sz w:val="20"/>
          <w:szCs w:val="20"/>
        </w:rPr>
        <w:t xml:space="preserve">Jamare spontaneously offered a three-tier market segmentation framework when asked about the AI billing 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40"/>
        <w:gridCol w:w="5040"/>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30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w:t>
            </w:r>
          </w:p>
        </w:tc>
        <w:tc>
          <w:tcPr>
            <w:tcW w:type="dxa" w:w="504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 for Clear Current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Enterprise</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JLL, Fortune 200 companies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These firms build internally or acquire. Not a realistic direct sales target. More likely an acquirer or distribution partner.</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Mid-Market</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Companies deciding in-house vs. buy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Prime target. These organizations have enough scale to generate ROI from a tool like Clear Current but lack the resources to build it themselves.</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Small</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Low-volume single-site operators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Nominal ROI. The difference between using the tool vs. doing it by hand is small enough that the value proposition does not hold.</w:t>
            </w:r>
          </w:p>
        </w:tc>
      </w:tr>
    </w:tbl>
    <w:p>
      <w:pPr>
        <w:spacing w:after="160"/>
      </w:pPr>
    </w:p>
    <w:p>
      <w:pPr>
        <w:spacing w:after="120"/>
      </w:pPr>
      <w:r>
        <w:rPr>
          <w:rFonts w:ascii="Arial" w:cs="Arial" w:eastAsia="Arial" w:hAnsi="Arial"/>
          <w:b w:val="false"/>
          <w:bCs w:val="false"/>
          <w:sz w:val="20"/>
          <w:szCs w:val="20"/>
        </w:rPr>
        <w:t xml:space="preserve">When told Clear Current is targeting multi-location retailers (Home Depots, CVS-type companies), Jamare confirmed that profile aligns with the mid-market and upper-mid-market tier where a dedicated software tool creates the most value.</w:t>
      </w:r>
    </w:p>
    <w:p>
      <w:pPr>
        <w:spacing w:after="80" w:before="200"/>
      </w:pPr>
      <w:r>
        <w:rPr>
          <w:rFonts w:ascii="Arial" w:cs="Arial" w:eastAsia="Arial" w:hAnsi="Arial"/>
          <w:b/>
          <w:bCs/>
          <w:color w:val="333333"/>
          <w:sz w:val="22"/>
          <w:szCs w:val="22"/>
        </w:rPr>
        <w:t xml:space="preserve">4.2 The Data Access Problem</w:t>
      </w:r>
    </w:p>
    <w:p>
      <w:pPr>
        <w:spacing w:after="120"/>
      </w:pPr>
      <w:r>
        <w:rPr>
          <w:rFonts w:ascii="Arial" w:cs="Arial" w:eastAsia="Arial" w:hAnsi="Arial"/>
          <w:b w:val="false"/>
          <w:bCs w:val="false"/>
          <w:sz w:val="20"/>
          <w:szCs w:val="20"/>
        </w:rPr>
        <w:t xml:space="preserve">Jamare identified data access as the single most critical barrier for an AI billing tool attempting to enter the enterprise segment:</w:t>
      </w:r>
    </w:p>
    <w:p>
      <w:pPr>
        <w:pStyle w:val="ListParagraph"/>
        <w:numPr>
          <w:ilvl w:val="0"/>
          <w:numId w:val="2"/>
        </w:numPr>
        <w:spacing w:after="80"/>
      </w:pPr>
      <w:r>
        <w:rPr>
          <w:rFonts w:ascii="Arial" w:cs="Arial" w:eastAsia="Arial" w:hAnsi="Arial"/>
          <w:sz w:val="20"/>
          <w:szCs w:val="20"/>
        </w:rPr>
        <w:t xml:space="preserve">Large clients are extremely reluctant to share utility invoice data with third parties. They do not want their energy spend visible in the market.</w:t>
      </w:r>
    </w:p>
    <w:p>
      <w:pPr>
        <w:pStyle w:val="ListParagraph"/>
        <w:numPr>
          <w:ilvl w:val="0"/>
          <w:numId w:val="2"/>
        </w:numPr>
        <w:spacing w:after="80"/>
      </w:pPr>
      <w:r>
        <w:rPr>
          <w:rFonts w:ascii="Arial" w:cs="Arial" w:eastAsia="Arial" w:hAnsi="Arial"/>
          <w:sz w:val="20"/>
          <w:szCs w:val="20"/>
        </w:rPr>
        <w:t xml:space="preserve">Fear of AI model training on proprietary data is a real and growing concern at the enterprise level. Clients will ask directly whether their data is being used to train models shared with others.</w:t>
      </w:r>
    </w:p>
    <w:p>
      <w:pPr>
        <w:pStyle w:val="ListParagraph"/>
        <w:numPr>
          <w:ilvl w:val="0"/>
          <w:numId w:val="2"/>
        </w:numPr>
        <w:spacing w:after="80"/>
      </w:pPr>
      <w:r>
        <w:rPr>
          <w:rFonts w:ascii="Arial" w:cs="Arial" w:eastAsia="Arial" w:hAnsi="Arial"/>
          <w:sz w:val="20"/>
          <w:szCs w:val="20"/>
        </w:rPr>
        <w:t xml:space="preserve">Security, anonymization, and data governance will be the first questions any serious procurement team asks. This is not a checkbox — it is a make-or-break qualification.</w:t>
      </w:r>
    </w:p>
    <w:p>
      <w:pPr>
        <w:spacing w:after="120"/>
      </w:pPr>
      <w:r>
        <w:rPr>
          <w:rFonts w:ascii="Arial" w:cs="Arial" w:eastAsia="Arial" w:hAnsi="Arial"/>
          <w:b w:val="false"/>
          <w:bCs w:val="false"/>
          <w:sz w:val="20"/>
          <w:szCs w:val="20"/>
        </w:rPr>
        <w:t xml:space="preserve">Implication for Clear Current: Data privacy and security architecture need to be front-facing — not buried in a terms of service. For enterprise and mid-market prospects, Jamare’s framing suggests this is a sales conversation, not just a legal one.</w:t>
      </w:r>
    </w:p>
    <w:p>
      <w:pPr>
        <w:spacing w:after="80" w:before="200"/>
      </w:pPr>
      <w:r>
        <w:rPr>
          <w:rFonts w:ascii="Arial" w:cs="Arial" w:eastAsia="Arial" w:hAnsi="Arial"/>
          <w:b/>
          <w:bCs/>
          <w:color w:val="333333"/>
          <w:sz w:val="22"/>
          <w:szCs w:val="22"/>
        </w:rPr>
        <w:t xml:space="preserve">4.3 Energy Auditors as Both Target Users and Displaced Incumbents</w:t>
      </w:r>
    </w:p>
    <w:p>
      <w:pPr>
        <w:spacing w:after="120"/>
      </w:pPr>
      <w:r>
        <w:rPr>
          <w:rFonts w:ascii="Arial" w:cs="Arial" w:eastAsia="Arial" w:hAnsi="Arial"/>
          <w:b w:val="false"/>
          <w:bCs w:val="false"/>
          <w:sz w:val="20"/>
          <w:szCs w:val="20"/>
        </w:rPr>
        <w:t xml:space="preserve">One of the most actionable recommendations Jamare offered was to interview current energy auditors. His reasoning:</w:t>
      </w:r>
    </w:p>
    <w:p>
      <w:pPr>
        <w:pStyle w:val="ListParagraph"/>
        <w:numPr>
          <w:ilvl w:val="0"/>
          <w:numId w:val="2"/>
        </w:numPr>
        <w:spacing w:after="80"/>
      </w:pPr>
      <w:r>
        <w:rPr>
          <w:rFonts w:ascii="Arial" w:cs="Arial" w:eastAsia="Arial" w:hAnsi="Arial"/>
          <w:sz w:val="20"/>
          <w:szCs w:val="20"/>
        </w:rPr>
        <w:t xml:space="preserve">Energy auditors currently perform much of what the AI billing tool is trying to automate — by hand.</w:t>
      </w:r>
    </w:p>
    <w:p>
      <w:pPr>
        <w:pStyle w:val="ListParagraph"/>
        <w:numPr>
          <w:ilvl w:val="0"/>
          <w:numId w:val="2"/>
        </w:numPr>
        <w:spacing w:after="80"/>
      </w:pPr>
      <w:r>
        <w:rPr>
          <w:rFonts w:ascii="Arial" w:cs="Arial" w:eastAsia="Arial" w:hAnsi="Arial"/>
          <w:sz w:val="20"/>
          <w:szCs w:val="20"/>
        </w:rPr>
        <w:t xml:space="preserve">If the tool is positioned as a job replacement, auditors will be adversarial toward it and will resist adoption wherever they have procurement influence.</w:t>
      </w:r>
    </w:p>
    <w:p>
      <w:pPr>
        <w:pStyle w:val="ListParagraph"/>
        <w:numPr>
          <w:ilvl w:val="0"/>
          <w:numId w:val="2"/>
        </w:numPr>
        <w:spacing w:after="80"/>
      </w:pPr>
      <w:r>
        <w:rPr>
          <w:rFonts w:ascii="Arial" w:cs="Arial" w:eastAsia="Arial" w:hAnsi="Arial"/>
          <w:sz w:val="20"/>
          <w:szCs w:val="20"/>
        </w:rPr>
        <w:t xml:space="preserve">If the tool is positioned as a force multiplier — helping auditors do more with less manual effort — it converts a potential obstacle into an early adopter and internal champion.</w:t>
      </w:r>
    </w:p>
    <w:p>
      <w:pPr>
        <w:spacing w:after="120"/>
      </w:pPr>
      <w:r>
        <w:rPr>
          <w:rFonts w:ascii="Arial" w:cs="Arial" w:eastAsia="Arial" w:hAnsi="Arial"/>
          <w:b w:val="false"/>
          <w:bCs w:val="false"/>
          <w:sz w:val="20"/>
          <w:szCs w:val="20"/>
        </w:rPr>
        <w:t xml:space="preserve">This directly mirrors Don Johnson’s “fake energy manager” insight: the person who looks like an obstacle is often the person who needs the product most.</w:t>
      </w:r>
    </w:p>
    <w:p>
      <w:pPr>
        <w:spacing w:after="200"/>
      </w:pPr>
    </w:p>
    <w:p>
      <w:pPr>
        <w:spacing w:after="120" w:before="300"/>
      </w:pPr>
      <w:r>
        <w:rPr>
          <w:rFonts w:ascii="Arial" w:cs="Arial" w:eastAsia="Arial" w:hAnsi="Arial"/>
          <w:b/>
          <w:bCs/>
          <w:color w:val="0A1628"/>
          <w:sz w:val="26"/>
          <w:szCs w:val="26"/>
        </w:rPr>
        <w:t xml:space="preserve">5. Key Quotes</w:t>
      </w:r>
    </w:p>
    <w:p>
      <w:pPr>
        <w:pBdr>
          <w:bottom w:val="single" w:color="0A1628" w:sz="4" w:space="1"/>
        </w:pBd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9F3D0" w:val="clear"/>
            <w:tcMar>
              <w:top w:type="dxa" w:w="120"/>
              <w:left w:type="dxa" w:w="160"/>
              <w:bottom w:type="dxa" w:w="120"/>
              <w:right w:type="dxa" w:w="160"/>
            </w:tcMar>
          </w:tcPr>
          <w:p>
            <w:r>
              <w:rPr>
                <w:rFonts w:ascii="Arial" w:cs="Arial" w:eastAsia="Arial" w:hAnsi="Arial"/>
                <w:b/>
                <w:bCs/>
                <w:color w:val="0A1628"/>
                <w:sz w:val="20"/>
                <w:szCs w:val="20"/>
              </w:rPr>
              <w:t xml:space="preserve">“Where is the cheapest energy? The workforce will come to me.”</w:t>
            </w:r>
          </w:p>
          <w:p>
            <w:r>
              <w:rPr>
                <w:rFonts w:ascii="Arial" w:cs="Arial" w:eastAsia="Arial" w:hAnsi="Arial"/>
                <w:color w:val="555555"/>
                <w:sz w:val="18"/>
                <w:szCs w:val="18"/>
              </w:rPr>
              <w:t xml:space="preserve">— On the shift in corporate site selection criteria</w:t>
            </w:r>
          </w:p>
        </w:tc>
      </w:tr>
      <w:tr>
        <w:tc>
          <w:tcPr>
            <w:tcW w:type="dxa" w:w="100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0A1628"/>
                <w:sz w:val="20"/>
                <w:szCs w:val="20"/>
              </w:rPr>
              <w:t xml:space="preserve">“The number one thing I would tell you is—make sure the company is thinking about how they’re going to manage, keep the data secure, and maybe even anonymize it.”</w:t>
            </w:r>
          </w:p>
          <w:p>
            <w:r>
              <w:rPr>
                <w:rFonts w:ascii="Arial" w:cs="Arial" w:eastAsia="Arial" w:hAnsi="Arial"/>
                <w:color w:val="555555"/>
                <w:sz w:val="18"/>
                <w:szCs w:val="18"/>
              </w:rPr>
              <w:t xml:space="preserve">— On enterprise data access barriers for AI tools</w:t>
            </w:r>
          </w:p>
        </w:tc>
      </w:tr>
      <w:tr>
        <w:tc>
          <w:tcPr>
            <w:tcW w:type="dxa" w:w="10080"/>
            <w:tcBorders>
              <w:top w:val="single" w:color="CCCCCC" w:sz="1"/>
              <w:left w:val="single" w:color="CCCCCC" w:sz="1"/>
              <w:bottom w:val="single" w:color="CCCCCC" w:sz="1"/>
              <w:right w:val="single" w:color="CCCCCC" w:sz="1"/>
            </w:tcBorders>
            <w:shd w:fill="F9F3D0" w:val="clear"/>
            <w:tcMar>
              <w:top w:type="dxa" w:w="120"/>
              <w:left w:type="dxa" w:w="160"/>
              <w:bottom w:type="dxa" w:w="120"/>
              <w:right w:type="dxa" w:w="160"/>
            </w:tcMar>
          </w:tcPr>
          <w:p>
            <w:r>
              <w:rPr>
                <w:rFonts w:ascii="Arial" w:cs="Arial" w:eastAsia="Arial" w:hAnsi="Arial"/>
                <w:b/>
                <w:bCs/>
                <w:color w:val="0A1628"/>
                <w:sz w:val="20"/>
                <w:szCs w:val="20"/>
              </w:rPr>
              <w:t xml:space="preserve">“If this tool is built to take their job, they’re gonna have a feeling about it. If it’s built to make their job easier, now you might have a target market.”</w:t>
            </w:r>
          </w:p>
          <w:p>
            <w:r>
              <w:rPr>
                <w:rFonts w:ascii="Arial" w:cs="Arial" w:eastAsia="Arial" w:hAnsi="Arial"/>
                <w:color w:val="555555"/>
                <w:sz w:val="18"/>
                <w:szCs w:val="18"/>
              </w:rPr>
              <w:t xml:space="preserve">— On positioning relative to energy auditors</w:t>
            </w:r>
          </w:p>
        </w:tc>
      </w:tr>
      <w:tr>
        <w:tc>
          <w:tcPr>
            <w:tcW w:type="dxa" w:w="10080"/>
            <w:tcBorders>
              <w:top w:val="single" w:color="CCCCCC" w:sz="1"/>
              <w:left w:val="single" w:color="CCCCCC" w:sz="1"/>
              <w:bottom w:val="single" w:color="CCCCCC" w:sz="1"/>
              <w:right w:val="single" w:color="CCCCCC" w:sz="1"/>
            </w:tcBorders>
            <w:shd w:fill="FFFFFF" w:val="clear"/>
            <w:tcMar>
              <w:top w:type="dxa" w:w="120"/>
              <w:left w:type="dxa" w:w="160"/>
              <w:bottom w:type="dxa" w:w="120"/>
              <w:right w:type="dxa" w:w="160"/>
            </w:tcMar>
          </w:tcPr>
          <w:p>
            <w:r>
              <w:rPr>
                <w:rFonts w:ascii="Arial" w:cs="Arial" w:eastAsia="Arial" w:hAnsi="Arial"/>
                <w:b/>
                <w:bCs/>
                <w:color w:val="0A1628"/>
                <w:sz w:val="20"/>
                <w:szCs w:val="20"/>
              </w:rPr>
              <w:t xml:space="preserve">“We’ve found millions and millions and millions of dollars of savings for our clients.”</w:t>
            </w:r>
          </w:p>
          <w:p>
            <w:r>
              <w:rPr>
                <w:rFonts w:ascii="Arial" w:cs="Arial" w:eastAsia="Arial" w:hAnsi="Arial"/>
                <w:color w:val="555555"/>
                <w:sz w:val="18"/>
                <w:szCs w:val="18"/>
              </w:rPr>
              <w:t xml:space="preserve">— On JLL’s internal AI tool results across their client base</w:t>
            </w:r>
          </w:p>
        </w:tc>
      </w:tr>
    </w:tbl>
    <w:p>
      <w:pPr>
        <w:spacing w:after="200"/>
      </w:pPr>
    </w:p>
    <w:p>
      <w:pPr>
        <w:spacing w:after="120" w:before="300"/>
      </w:pPr>
      <w:r>
        <w:rPr>
          <w:rFonts w:ascii="Arial" w:cs="Arial" w:eastAsia="Arial" w:hAnsi="Arial"/>
          <w:b/>
          <w:bCs/>
          <w:color w:val="0A1628"/>
          <w:sz w:val="26"/>
          <w:szCs w:val="26"/>
        </w:rPr>
        <w:t xml:space="preserve">6. Research Gaps &amp; Recommended Follow-Up</w:t>
      </w:r>
    </w:p>
    <w:p>
      <w:pPr>
        <w:pBdr>
          <w:bottom w:val="single" w:color="0A1628" w:sz="4" w:space="1"/>
        </w:pBdr>
        <w:spacing w:after="160"/>
      </w:pPr>
    </w:p>
    <w:p>
      <w:pPr>
        <w:pStyle w:val="ListParagraph"/>
        <w:numPr>
          <w:ilvl w:val="0"/>
          <w:numId w:val="2"/>
        </w:numPr>
        <w:spacing w:after="80"/>
      </w:pPr>
      <w:r>
        <w:rPr>
          <w:rFonts w:ascii="Arial" w:cs="Arial" w:eastAsia="Arial" w:hAnsi="Arial"/>
          <w:sz w:val="20"/>
          <w:szCs w:val="20"/>
        </w:rPr>
        <w:t xml:space="preserve">Energy auditor interviews: Jamare specifically recommended this as the highest-value next step. Current auditors are both the functional incumbents and the most likely early adopters if the tool is positioned correctly.</w:t>
      </w:r>
    </w:p>
    <w:p>
      <w:pPr>
        <w:pStyle w:val="ListParagraph"/>
        <w:numPr>
          <w:ilvl w:val="0"/>
          <w:numId w:val="2"/>
        </w:numPr>
        <w:spacing w:after="80"/>
      </w:pPr>
      <w:r>
        <w:rPr>
          <w:rFonts w:ascii="Arial" w:cs="Arial" w:eastAsia="Arial" w:hAnsi="Arial"/>
          <w:sz w:val="20"/>
          <w:szCs w:val="20"/>
        </w:rPr>
        <w:t xml:space="preserve">JLL as a channel or distribution partner: Jamare’s framing of JLL’s capabilities and client base suggests a potential channel relationship worth exploring — particularly if Clear Current targets mid-market clients that JLL serves but does not build custom tools for.</w:t>
      </w:r>
    </w:p>
    <w:p>
      <w:pPr>
        <w:pStyle w:val="ListParagraph"/>
        <w:numPr>
          <w:ilvl w:val="0"/>
          <w:numId w:val="2"/>
        </w:numPr>
        <w:spacing w:after="80"/>
      </w:pPr>
      <w:r>
        <w:rPr>
          <w:rFonts w:ascii="Arial" w:cs="Arial" w:eastAsia="Arial" w:hAnsi="Arial"/>
          <w:sz w:val="20"/>
          <w:szCs w:val="20"/>
        </w:rPr>
        <w:t xml:space="preserve">Warm intro potential: Jamare offered to stay connected and suggested follow-up. Worth a direct ask for an introduction to energy auditors in his network or other mid-market energy managers.</w:t>
      </w:r>
    </w:p>
    <w:p>
      <w:pPr>
        <w:spacing w:after="200"/>
      </w:pPr>
    </w:p>
    <w:p>
      <w:pPr>
        <w:pBdr>
          <w:top w:val="single" w:color="0A1628" w:sz="4" w:space="4"/>
        </w:pBdr>
        <w:spacing w:before="160"/>
        <w:jc w:val="center"/>
      </w:pPr>
      <w:r>
        <w:rPr>
          <w:rFonts w:ascii="Arial" w:cs="Arial" w:eastAsia="Arial" w:hAnsi="Arial"/>
          <w:color w:val="888888"/>
          <w:sz w:val="16"/>
          <w:szCs w:val="16"/>
        </w:rPr>
        <w:t xml:space="preserve">Confidential | MBA Research Engagement — Texas A&amp;M Mays Business School</w:t>
      </w:r>
    </w:p>
    <w:p>
      <w:pPr>
        <w:jc w:val="center"/>
      </w:pPr>
      <w:r>
        <w:rPr>
          <w:rFonts w:ascii="Arial" w:cs="Arial" w:eastAsia="Arial" w:hAnsi="Arial"/>
          <w:color w:val="888888"/>
          <w:sz w:val="16"/>
          <w:szCs w:val="16"/>
        </w:rPr>
        <w:t xml:space="preserve">CDL-Texas Energy Stream | Clear Current Technologies | Clayton Hester, Jason Wisnieski, Adam Case, Victor Pan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2026-04-16T19:04:37.612Z</dcterms:created>
  <dcterms:modified xsi:type="dcterms:W3CDTF">2026-04-16T19:04:37.613Z</dcterms:modified>
</cp:coreProperties>
</file>

<file path=docProps/custom.xml><?xml version="1.0" encoding="utf-8"?>
<Properties xmlns="http://schemas.openxmlformats.org/officeDocument/2006/custom-properties" xmlns:vt="http://schemas.openxmlformats.org/officeDocument/2006/docPropsVTypes"/>
</file>