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5C518" w:sz="8"/>
        </w:pBdr>
        <w:spacing w:after="60" w:before="0"/>
        <w:jc w:val="center"/>
      </w:pPr>
      <w:r>
        <w:rPr>
          <w:rFonts w:ascii="Arial" w:cs="Arial" w:eastAsia="Arial" w:hAnsi="Arial"/>
          <w:b/>
          <w:bCs/>
          <w:color w:val="0A1628"/>
          <w:sz w:val="36"/>
          <w:szCs w:val="36"/>
        </w:rPr>
        <w:t xml:space="preserve">Interview Summary</w:t>
      </w:r>
    </w:p>
    <w:p>
      <w:pPr>
        <w:spacing w:after="20" w:before="100"/>
        <w:jc w:val="center"/>
      </w:pPr>
      <w:r>
        <w:rPr>
          <w:rFonts w:ascii="Arial" w:cs="Arial" w:eastAsia="Arial" w:hAnsi="Arial"/>
          <w:b/>
          <w:bCs/>
          <w:color w:val="444444"/>
          <w:sz w:val="26"/>
          <w:szCs w:val="26"/>
        </w:rPr>
        <w:t xml:space="preserve">Marc Spieler | NVIDIA</w:t>
      </w:r>
    </w:p>
    <w:p>
      <w:pPr>
        <w:spacing w:after="20" w:before="0"/>
        <w:jc w:val="center"/>
      </w:pPr>
      <w:r>
        <w:rPr>
          <w:rFonts w:ascii="Arial" w:cs="Arial" w:eastAsia="Arial" w:hAnsi="Arial"/>
          <w:color w:val="444444"/>
          <w:sz w:val="22"/>
          <w:szCs w:val="22"/>
        </w:rPr>
        <w:t xml:space="preserve">Senior Managing Director, Global Energy Industry</w:t>
      </w:r>
    </w:p>
    <w:p>
      <w:pPr>
        <w:spacing w:after="200" w:before="0"/>
        <w:jc w:val="center"/>
      </w:pPr>
      <w:r>
        <w:rPr>
          <w:rFonts w:ascii="Arial" w:cs="Arial" w:eastAsia="Arial" w:hAnsi="Arial"/>
          <w:i/>
          <w:iCs/>
          <w:color w:val="777777"/>
          <w:sz w:val="20"/>
          <w:szCs w:val="20"/>
        </w:rPr>
        <w:t xml:space="preserve">Conducted by Clayton Hester  |  April 3, 2026</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C518" w:sz="6"/>
              <w:left w:val="single" w:color="F5C518" w:sz="6"/>
              <w:bottom w:val="single" w:color="F5C518" w:sz="6"/>
              <w:right w:val="single" w:color="F5C518" w:sz="6"/>
            </w:tcBorders>
            <w:shd w:fill="FEF9E7" w:val="clear"/>
            <w:tcMar>
              <w:top w:type="dxa" w:w="120"/>
              <w:left w:type="dxa" w:w="160"/>
              <w:bottom w:type="dxa" w:w="120"/>
              <w:right w:type="dxa" w:w="160"/>
            </w:tcMar>
          </w:tcPr>
          <w:p>
            <w:pPr>
              <w:spacing w:after="60" w:before="0"/>
            </w:pPr>
            <w:r>
              <w:rPr>
                <w:rFonts w:ascii="Arial" w:cs="Arial" w:eastAsia="Arial" w:hAnsi="Arial"/>
                <w:b/>
                <w:bCs/>
                <w:color w:val="0A1628"/>
                <w:sz w:val="22"/>
                <w:szCs w:val="22"/>
              </w:rPr>
              <w:t xml:space="preserve">Why This Interview Matters</w:t>
            </w:r>
          </w:p>
          <w:p>
            <w:pPr>
              <w:spacing w:after="0" w:before="0"/>
            </w:pPr>
            <w:r>
              <w:rPr>
                <w:rFonts w:ascii="Arial" w:cs="Arial" w:eastAsia="Arial" w:hAnsi="Arial"/>
                <w:sz w:val="21"/>
                <w:szCs w:val="21"/>
              </w:rPr>
              <w:t xml:space="preserve">Marc Spieler is not a user of energy management tools. He is the person at NVIDIA responsible for the company's entire global go-to-market strategy across oil and gas, renewables, power generation, and utilities. Named to Business Insider's 2024 AI Power List, he connects startups with enterprise energy buyers, manages NVIDIA's energy startup ecosystem (700-800 energy startups in the Inception program), and has direct relationships with Fortune 1000 energy companies and major utilities. This interview produced actionable GTM intelligence that no user interview could surface: three distinct go-to-market tracks, a channel strategy through ERP and billing software platforms, pricing model validation, and direct introductions to utility decision-makers.</w:t>
            </w:r>
          </w:p>
        </w:tc>
      </w:tr>
    </w:tbl>
    <w:p>
      <w:pPr>
        <w:spacing w:after="160" w:before="0"/>
      </w:pPr>
    </w:p>
    <w:p>
      <w:pPr>
        <w:pStyle w:val="Heading1"/>
      </w:pPr>
      <w:r>
        <w:rPr>
          <w:rFonts w:ascii="Arial" w:cs="Arial" w:eastAsia="Arial" w:hAnsi="Arial"/>
        </w:rPr>
        <w:t xml:space="preserve">1. Interviewee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Field</w:t>
            </w:r>
          </w:p>
        </w:tc>
        <w:tc>
          <w:tcPr>
            <w:tcW w:type="dxa" w:w="702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Name</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Marc Spieler</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Title</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Senior Managing Director, Global Energy Industry</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Company</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NVIDIA</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Location</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Greater Houston</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Tenure at NVIDIA</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~6 years (since July 2019)</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Prior Experience</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Halliburton (~13 yrs): Director of Corporate Development, Global Customer Financial Services, Global R&amp;D Outsourcing &amp; Strategic Alliances | Silicon Graphics, Inc. (SGI): Business development across energy</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Recognition</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Business Insider 2024 AI Power List | Board of Directors, EPRI | Advisory Board, Grid Forward</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Scope</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NVIDIA's global go-to-market across oil &amp; gas, renewables, power generation, and utilities</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Ecosystem</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Manages relationships with 700-800 energy startups in NVIDIA Inception program, plus Fortune 1000 energy companies</w:t>
            </w:r>
          </w:p>
        </w:tc>
      </w:tr>
    </w:tbl>
    <w:p>
      <w:pPr>
        <w:spacing w:after="80" w:before="0"/>
      </w:pPr>
    </w:p>
    <w:p>
      <w:pPr>
        <w:spacing w:after="100" w:before="0"/>
      </w:pPr>
      <w:r>
        <w:rPr>
          <w:rFonts w:ascii="Arial" w:cs="Arial" w:eastAsia="Arial" w:hAnsi="Arial"/>
          <w:sz w:val="22"/>
          <w:szCs w:val="22"/>
        </w:rPr>
        <w:t xml:space="preserve">Marc Spieler has spent his entire career at the intersection of technology and energy. At NVIDIA, he leads business development, solution development, and go-to-market strategies that help energy companies enhance decision-making through HPC, visualization, data science, and AI. He serves on the Board of Directors of EPRI and on the Advisory Board of Grid Forward.</w:t>
      </w:r>
    </w:p>
    <w:p>
      <w:pPr>
        <w:pStyle w:val="Heading1"/>
      </w:pPr>
      <w:r>
        <w:rPr>
          <w:rFonts w:ascii="Arial" w:cs="Arial" w:eastAsia="Arial" w:hAnsi="Arial"/>
        </w:rPr>
        <w:t xml:space="preserve">2. Marc's Three Go-to-Market Tracks</w:t>
      </w:r>
    </w:p>
    <w:p>
      <w:pPr>
        <w:spacing w:after="100" w:before="0"/>
      </w:pPr>
      <w:r>
        <w:rPr>
          <w:rFonts w:ascii="Arial" w:cs="Arial" w:eastAsia="Arial" w:hAnsi="Arial"/>
          <w:sz w:val="22"/>
          <w:szCs w:val="22"/>
        </w:rPr>
        <w:t xml:space="preserve">Marc's most valuable strategic contribution was identifying three distinct go-to-market tracks for Clear Current. He framed them as parallel strategies that address different buyer types.</w:t>
      </w:r>
    </w:p>
    <w:p>
      <w:pPr>
        <w:pStyle w:val="Heading2"/>
      </w:pPr>
      <w:r>
        <w:rPr>
          <w:rFonts w:ascii="Arial" w:cs="Arial" w:eastAsia="Arial" w:hAnsi="Arial"/>
        </w:rPr>
        <w:t xml:space="preserve">Track 1: Direct to Enterprise (Current Approach)</w:t>
      </w:r>
    </w:p>
    <w:p>
      <w:pPr>
        <w:spacing w:after="100" w:before="0"/>
      </w:pPr>
      <w:r>
        <w:rPr>
          <w:rFonts w:ascii="Arial" w:cs="Arial" w:eastAsia="Arial" w:hAnsi="Arial"/>
          <w:sz w:val="22"/>
          <w:szCs w:val="22"/>
        </w:rPr>
        <w:t xml:space="preserve">Continue going to end customers with large, complex energy bills and auditing their bills directly. This is what Clear Current is doing today with its 12 pilots.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C518" w:sz="4"/>
              <w:left w:val="single" w:color="F5C518" w:sz="4"/>
              <w:bottom w:val="single" w:color="F5C518" w:sz="4"/>
              <w:right w:val="single" w:color="F5C518" w:sz="4"/>
            </w:tcBorders>
            <w:shd w:fill="FEF9E7"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Marc's Advice on Track 1</w:t>
            </w:r>
          </w:p>
          <w:p>
            <w:pPr>
              <w:spacing w:after="0" w:before="0"/>
            </w:pPr>
            <w:r>
              <w:rPr>
                <w:rFonts w:ascii="Arial" w:cs="Arial" w:eastAsia="Arial" w:hAnsi="Arial"/>
                <w:sz w:val="21"/>
                <w:szCs w:val="21"/>
              </w:rPr>
              <w:t xml:space="preserve">Demonstrate that bills are consistently wrong, not just occasionally wrong. If errors are anomalies, customers will want a one-time audit. If errors are systematic and recurring, they'll want a subscription. 'It's one thing to say we've given you five years of billing. It wasn't an anomaly that they made a mistake - it was consistent. If the bills are consistently wrong, then a human can't possibly do this, and that means you want a subscription to your stuff.'</w:t>
            </w:r>
          </w:p>
        </w:tc>
      </w:tr>
    </w:tbl>
    <w:p>
      <w:pPr>
        <w:pStyle w:val="Heading2"/>
      </w:pPr>
      <w:r>
        <w:rPr>
          <w:rFonts w:ascii="Arial" w:cs="Arial" w:eastAsia="Arial" w:hAnsi="Arial"/>
        </w:rPr>
        <w:t xml:space="preserve">Track 2: Sell to Utilities</w:t>
      </w:r>
    </w:p>
    <w:p>
      <w:pPr>
        <w:spacing w:after="100" w:before="0"/>
      </w:pPr>
      <w:r>
        <w:rPr>
          <w:rFonts w:ascii="Arial" w:cs="Arial" w:eastAsia="Arial" w:hAnsi="Arial"/>
          <w:sz w:val="22"/>
          <w:szCs w:val="22"/>
        </w:rPr>
        <w:t xml:space="preserve">Go to utilities and offer the tool as a billing accuracy service. Marc identified two value propositions for the utility side: catching underbilling (which costs the utility lost revenue) and preventing overbilling (which generates customer service costs, regulatory risk, and potential legal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"You potentially go to a utility and said listen, take off the people's names. Let us audit 100 of your bills. We'll come back and tell you if they're inaccurate."</w:t>
            </w:r>
          </w:p>
        </w:tc>
      </w:tr>
    </w:tbl>
    <w:p>
      <w:pPr>
        <w:spacing w:after="100" w:before="0"/>
      </w:pPr>
      <w:r>
        <w:rPr>
          <w:rFonts w:ascii="Arial" w:cs="Arial" w:eastAsia="Arial" w:hAnsi="Arial"/>
          <w:sz w:val="22"/>
          <w:szCs w:val="22"/>
        </w:rPr>
        <w:t xml:space="preserve">Utilities have whole teams managing commercial and industrial customers. Commercial and industrial customers account for 80% of power consumption. If the utility's billing system is producing systematic errors, they face regulatory risk from their state's utility commission.</w:t>
      </w:r>
    </w:p>
    <w:p>
      <w:pPr>
        <w:pStyle w:val="Heading2"/>
      </w:pPr>
      <w:r>
        <w:rPr>
          <w:rFonts w:ascii="Arial" w:cs="Arial" w:eastAsia="Arial" w:hAnsi="Arial"/>
        </w:rPr>
        <w:t xml:space="preserve">Track 3: License as a Module to Billing Software &amp; ERP Platforms</w:t>
      </w:r>
    </w:p>
    <w:p>
      <w:pPr>
        <w:spacing w:after="100" w:before="0"/>
      </w:pPr>
      <w:r>
        <w:rPr>
          <w:rFonts w:ascii="Arial" w:cs="Arial" w:eastAsia="Arial" w:hAnsi="Arial"/>
          <w:sz w:val="22"/>
          <w:szCs w:val="22"/>
        </w:rPr>
        <w:t xml:space="preserve">Marc's most expansive strategic recommendation: license Clear Current's AI auditing capability as a module embedded into existing billing software stacks and ERP systems - Oracle, SAP, Microsoft Dynamics, JD Edwards, and QuickBooks.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"The other go-to-market strategy would be to see if you could embed it into somebody else's billing thing. For $3 a month, we'll audit your electric bill. Now all of a sudden you guys just have to sell to QuickBooks and then QuickBooks sells to everybody else."</w:t>
            </w:r>
          </w:p>
        </w:tc>
      </w:tr>
    </w:tbl>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This removes the burden of direct sales from Clear Current - the ERP vendor becomes the distribution channel. Most enterprise bills flow through ERP systems already. If Clear Current's audit module sat inside that workflow, it would flag discrepancies before the bill is approved.</w:t>
      </w:r>
    </w:p>
    <w:p>
      <w:pPr>
        <w:pStyle w:val="Heading1"/>
      </w:pPr>
      <w:r>
        <w:rPr>
          <w:rFonts w:ascii="Arial" w:cs="Arial" w:eastAsia="Arial" w:hAnsi="Arial"/>
        </w:rPr>
        <w:t xml:space="preserve">3. Pricing Model Intelligence</w:t>
      </w:r>
    </w:p>
    <w:p>
      <w:pPr>
        <w:pStyle w:val="Heading2"/>
      </w:pPr>
      <w:r>
        <w:rPr>
          <w:rFonts w:ascii="Arial" w:cs="Arial" w:eastAsia="Arial" w:hAnsi="Arial"/>
        </w:rPr>
        <w:t xml:space="preserve">3.1 The Savings-Sharing Trap</w:t>
      </w:r>
    </w:p>
    <w:p>
      <w:pPr>
        <w:spacing w:after="100" w:before="0"/>
      </w:pPr>
      <w:r>
        <w:rPr>
          <w:rFonts w:ascii="Arial" w:cs="Arial" w:eastAsia="Arial" w:hAnsi="Arial"/>
          <w:sz w:val="22"/>
          <w:szCs w:val="22"/>
        </w:rPr>
        <w:t xml:space="preserve">Marc described a pattern he has seen repeatedly: a company agrees to take a percentage of savings found, but as soon as the savings become large, the client pushes to renegotiate to a fixed fee.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"As soon as they see you're on a trajectory to save them 20 million bucks, they're going to tell you 4 million bucks is way too expensive. They want to switch over to the fixed cost."</w:t>
            </w:r>
          </w:p>
        </w:tc>
      </w:tr>
    </w:tbl>
    <w:p>
      <w:pPr>
        <w:pStyle w:val="Heading2"/>
      </w:pPr>
      <w:r>
        <w:rPr>
          <w:rFonts w:ascii="Arial" w:cs="Arial" w:eastAsia="Arial" w:hAnsi="Arial"/>
        </w:rPr>
        <w:t xml:space="preserve">3.2 The Property Tax Consultant Analogy</w:t>
      </w:r>
    </w:p>
    <w:p>
      <w:pPr>
        <w:spacing w:after="100" w:before="0"/>
      </w:pPr>
      <w:r>
        <w:rPr>
          <w:rFonts w:ascii="Arial" w:cs="Arial" w:eastAsia="Arial" w:hAnsi="Arial"/>
          <w:sz w:val="22"/>
          <w:szCs w:val="22"/>
        </w:rPr>
        <w:t xml:space="preserve">Marc offered a directly relevant analogy: a property tax protest service that operates on an evergreen agreement with a 50% savings share. Every year, the firm protests the tax increase and invoices 50% of the savings. If they don't win, the customer pays nothing.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"Every year they send me an email that says, here's how much your taxes went up. We're gonna go protest it, and I agree to pay them 50% of the amount they saved me. If they don't win, I get nothing, they get nothing."</w:t>
            </w:r>
          </w:p>
        </w:tc>
      </w:tr>
    </w:tbl>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This model works because it's automated, recurring, low-friction, and the value is proven every cycle. Clear Current's billing audit could operate identically: every month, the system audits the bill, flags errors, and invoices a percentage of recovered savings. No savings, no charge.</w:t>
      </w:r>
    </w:p>
    <w:p>
      <w:pPr>
        <w:pStyle w:val="Heading2"/>
      </w:pPr>
      <w:r>
        <w:rPr>
          <w:rFonts w:ascii="Arial" w:cs="Arial" w:eastAsia="Arial" w:hAnsi="Arial"/>
        </w:rPr>
        <w:t xml:space="preserve">3.3 The Proof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"The concept's great. The question is, how often are these bills wrong? If the answer is not very often, then you know. But based on what you're telling me, they're wrong a lot and you've had some big wins. My thing is go demonstrate those wins."</w:t>
            </w:r>
          </w:p>
        </w:tc>
      </w:tr>
    </w:tbl>
    <w:p>
      <w:pPr>
        <w:spacing w:after="100" w:before="0"/>
      </w:pPr>
      <w:r>
        <w:rPr>
          <w:rFonts w:ascii="Arial" w:cs="Arial" w:eastAsia="Arial" w:hAnsi="Arial"/>
          <w:sz w:val="22"/>
          <w:szCs w:val="22"/>
        </w:rPr>
        <w:t xml:space="preserve">Key question Marc raised: Have the utilities actually recognized the mistakes and issued refunds? Clear Current needs case studies showing the full cycle: error identified, utility contacted, credit issued, dollars returned to customer.</w:t>
      </w:r>
    </w:p>
    <w:p>
      <w:pPr>
        <w:pStyle w:val="Heading1"/>
      </w:pPr>
      <w:r>
        <w:rPr>
          <w:rFonts w:ascii="Arial" w:cs="Arial" w:eastAsia="Arial" w:hAnsi="Arial"/>
        </w:rPr>
        <w:t xml:space="preserve">4. The Bigger Market: Invoice Auditing Beyond Energy</w:t>
      </w:r>
    </w:p>
    <w:p>
      <w:pPr>
        <w:spacing w:after="100" w:before="0"/>
      </w:pPr>
      <w:r>
        <w:rPr>
          <w:rFonts w:ascii="Arial" w:cs="Arial" w:eastAsia="Arial" w:hAnsi="Arial"/>
          <w:sz w:val="22"/>
          <w:szCs w:val="22"/>
        </w:rPr>
        <w:t xml:space="preserve">One of Marc's most provocative insights was that Clear Current's technology is not limited to energy bills. He described a broader market for AI-powered invoice auditing:</w:t>
      </w:r>
    </w:p>
    <w:p>
      <w:pPr>
        <w:pStyle w:val="ListParagraph"/>
        <w:numPr>
          <w:ilvl w:val="0"/>
          <w:numId w:val="2"/>
        </w:numPr>
        <w:spacing w:after="40" w:before="40"/>
      </w:pPr>
      <w:r>
        <w:rPr>
          <w:rFonts w:ascii="Arial" w:cs="Arial" w:eastAsia="Arial" w:hAnsi="Arial"/>
          <w:b/>
          <w:bCs/>
          <w:sz w:val="22"/>
          <w:szCs w:val="22"/>
        </w:rPr>
        <w:t xml:space="preserve">Food service procurement </w:t>
      </w:r>
      <w:r>
        <w:rPr>
          <w:rFonts w:ascii="Arial" w:cs="Arial" w:eastAsia="Arial" w:hAnsi="Arial"/>
          <w:sz w:val="22"/>
          <w:szCs w:val="22"/>
        </w:rPr>
        <w:t xml:space="preserve">companies buying from Sysco in huge quantities - did they get the right quantity, right price, right discounts?</w:t>
      </w:r>
    </w:p>
    <w:p>
      <w:pPr>
        <w:pStyle w:val="ListParagraph"/>
        <w:numPr>
          <w:ilvl w:val="0"/>
          <w:numId w:val="2"/>
        </w:numPr>
        <w:spacing w:after="40" w:before="40"/>
      </w:pPr>
      <w:r>
        <w:rPr>
          <w:rFonts w:ascii="Arial" w:cs="Arial" w:eastAsia="Arial" w:hAnsi="Arial"/>
          <w:b/>
          <w:bCs/>
          <w:sz w:val="22"/>
          <w:szCs w:val="22"/>
        </w:rPr>
        <w:t xml:space="preserve">Construction and building materials </w:t>
      </w:r>
      <w:r>
        <w:rPr>
          <w:rFonts w:ascii="Arial" w:cs="Arial" w:eastAsia="Arial" w:hAnsi="Arial"/>
          <w:sz w:val="22"/>
          <w:szCs w:val="22"/>
        </w:rPr>
        <w:t xml:space="preserve">home builders receiving large lumber deliveries - are prices and discounts applied correctly?</w:t>
      </w:r>
    </w:p>
    <w:p>
      <w:pPr>
        <w:pStyle w:val="ListParagraph"/>
        <w:numPr>
          <w:ilvl w:val="0"/>
          <w:numId w:val="2"/>
        </w:numPr>
        <w:spacing w:after="40" w:before="40"/>
      </w:pPr>
      <w:r>
        <w:rPr>
          <w:rFonts w:ascii="Arial" w:cs="Arial" w:eastAsia="Arial" w:hAnsi="Arial"/>
          <w:b/>
          <w:bCs/>
          <w:sz w:val="22"/>
          <w:szCs w:val="22"/>
        </w:rPr>
        <w:t xml:space="preserve">Retail receipt auditing </w:t>
      </w:r>
      <w:r>
        <w:rPr>
          <w:rFonts w:ascii="Arial" w:cs="Arial" w:eastAsia="Arial" w:hAnsi="Arial"/>
          <w:sz w:val="22"/>
          <w:szCs w:val="22"/>
        </w:rPr>
        <w:t xml:space="preserve">verifying coupons and discounts at the point of sale</w:t>
      </w:r>
    </w:p>
    <w:p>
      <w:pPr>
        <w:pStyle w:val="ListParagraph"/>
        <w:numPr>
          <w:ilvl w:val="0"/>
          <w:numId w:val="2"/>
        </w:numPr>
        <w:spacing w:after="40" w:before="40"/>
      </w:pPr>
      <w:r>
        <w:rPr>
          <w:rFonts w:ascii="Arial" w:cs="Arial" w:eastAsia="Arial" w:hAnsi="Arial"/>
          <w:b/>
          <w:bCs/>
          <w:sz w:val="22"/>
          <w:szCs w:val="22"/>
        </w:rPr>
        <w:t xml:space="preserve">Any negotiated-price procurement </w:t>
      </w:r>
      <w:r>
        <w:rPr>
          <w:rFonts w:ascii="Arial" w:cs="Arial" w:eastAsia="Arial" w:hAnsi="Arial"/>
          <w:sz w:val="22"/>
          <w:szCs w:val="22"/>
        </w:rPr>
        <w:t xml:space="preserve">anywhere a company has negotiated rates and needs to verify invoices match those rates at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"So you solve this for electric billing, but who else has the most complex billing? Invoice auditing - that should be a great market for this."</w:t>
            </w:r>
          </w:p>
        </w:tc>
      </w:tr>
    </w:tbl>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Marc is not suggesting Clear Current pivot away from energy. He's suggesting the technology has expansion potential beyond the energy vertical once the core product is proven. This expands the TAM story for investor conversations.</w:t>
      </w:r>
    </w:p>
    <w:p>
      <w:pPr>
        <w:pStyle w:val="Heading1"/>
      </w:pPr>
      <w:r>
        <w:rPr>
          <w:rFonts w:ascii="Arial" w:cs="Arial" w:eastAsia="Arial" w:hAnsi="Arial"/>
        </w:rPr>
        <w:t xml:space="preserve">5. How Clear Current Can Enter the NVIDIA Ecosystem</w:t>
      </w:r>
    </w:p>
    <w:p>
      <w:pPr>
        <w:pStyle w:val="Heading2"/>
      </w:pPr>
      <w:r>
        <w:rPr>
          <w:rFonts w:ascii="Arial" w:cs="Arial" w:eastAsia="Arial" w:hAnsi="Arial"/>
        </w:rPr>
        <w:t xml:space="preserve">5.1 The NVIDIA Inception Program</w:t>
      </w:r>
    </w:p>
    <w:p>
      <w:pPr>
        <w:spacing w:after="100" w:before="0"/>
      </w:pPr>
      <w:r>
        <w:rPr>
          <w:rFonts w:ascii="Arial" w:cs="Arial" w:eastAsia="Arial" w:hAnsi="Arial"/>
          <w:sz w:val="22"/>
          <w:szCs w:val="22"/>
        </w:rPr>
        <w:t xml:space="preserve">NVIDIA's Inception program includes over 40,000 startups globally, with approximately 700-800 in the energy space. The program is free, requires no equity, and provides co-marketing support, preferred pricing on NVIDIA hardware, and connections to the VC community.</w:t>
      </w:r>
    </w:p>
    <w:p>
      <w:pPr>
        <w:spacing w:after="100" w:before="0"/>
      </w:pPr>
      <w:r>
        <w:rPr>
          <w:rFonts w:ascii="Arial" w:cs="Arial" w:eastAsia="Arial" w:hAnsi="Arial"/>
          <w:sz w:val="22"/>
          <w:szCs w:val="22"/>
        </w:rPr>
        <w:t xml:space="preserve">Marc's requirement: Clear Current needs to demonstrate that it is using NVIDIA technology in its stack. If so, joining the program is a 'no-brainer' for co-marketing and enterprise introductions.</w:t>
      </w:r>
    </w:p>
    <w:p>
      <w:pPr>
        <w:pStyle w:val="Heading2"/>
      </w:pPr>
      <w:r>
        <w:rPr>
          <w:rFonts w:ascii="Arial" w:cs="Arial" w:eastAsia="Arial" w:hAnsi="Arial"/>
        </w:rPr>
        <w:t xml:space="preserve">5.2 Cloud Provider Startup Programs</w:t>
      </w:r>
    </w:p>
    <w:p>
      <w:pPr>
        <w:spacing w:after="100" w:before="0"/>
      </w:pPr>
      <w:r>
        <w:rPr>
          <w:rFonts w:ascii="Arial" w:cs="Arial" w:eastAsia="Arial" w:hAnsi="Arial"/>
          <w:sz w:val="22"/>
          <w:szCs w:val="22"/>
        </w:rPr>
        <w:t xml:space="preserve">Marc advised Clear Current to identify which cloud provider they're running on (AWS, Azure, Google Cloud) and join that provider's startup program. Cloud providers do matchmaking between startups and enterprise customers.</w:t>
      </w:r>
    </w:p>
    <w:p>
      <w:pPr>
        <w:pStyle w:val="Heading2"/>
      </w:pPr>
      <w:r>
        <w:rPr>
          <w:rFonts w:ascii="Arial" w:cs="Arial" w:eastAsia="Arial" w:hAnsi="Arial"/>
        </w:rPr>
        <w:t xml:space="preserve">5.3 NVIDIA's Internal Energy Purchasing</w:t>
      </w:r>
    </w:p>
    <w:p>
      <w:pPr>
        <w:pStyle w:val="ListParagraph"/>
        <w:numPr>
          <w:ilvl w:val="0"/>
          <w:numId w:val="2"/>
        </w:numPr>
        <w:spacing w:after="40" w:before="40"/>
      </w:pPr>
      <w:r>
        <w:rPr>
          <w:rFonts w:ascii="Arial" w:cs="Arial" w:eastAsia="Arial" w:hAnsi="Arial"/>
          <w:b/>
          <w:bCs/>
          <w:sz w:val="22"/>
          <w:szCs w:val="22"/>
        </w:rPr>
        <w:t xml:space="preserve">Kevin Yang </w:t>
      </w:r>
      <w:r>
        <w:rPr>
          <w:rFonts w:ascii="Arial" w:cs="Arial" w:eastAsia="Arial" w:hAnsi="Arial"/>
          <w:sz w:val="22"/>
          <w:szCs w:val="22"/>
        </w:rPr>
        <w:t xml:space="preserve">handles sustainable purchasing at NVIDIA. If Clear Current is an Inception partner using NVIDIA technology, Marc could facilitate an introduction to have Clear Current audit NVIDIA's own energy bills as a reference customer.</w:t>
      </w:r>
    </w:p>
    <w:p>
      <w:pPr>
        <w:pStyle w:val="Heading1"/>
      </w:pPr>
      <w:r>
        <w:rPr>
          <w:rFonts w:ascii="Arial" w:cs="Arial" w:eastAsia="Arial" w:hAnsi="Arial"/>
        </w:rPr>
        <w:t xml:space="preserve">6. Networking Leads &amp; Introductions</w:t>
      </w:r>
    </w:p>
    <w:p>
      <w:pPr>
        <w:pStyle w:val="ListParagraph"/>
        <w:numPr>
          <w:ilvl w:val="0"/>
          <w:numId w:val="2"/>
        </w:numPr>
        <w:spacing w:after="40" w:before="40"/>
      </w:pPr>
      <w:r>
        <w:rPr>
          <w:rFonts w:ascii="Arial" w:cs="Arial" w:eastAsia="Arial" w:hAnsi="Arial"/>
          <w:b/>
          <w:bCs/>
          <w:sz w:val="22"/>
          <w:szCs w:val="22"/>
        </w:rPr>
        <w:t xml:space="preserve">Morgan Stacy, VP Connections &amp; Strategic Accounts, National Grid </w:t>
      </w:r>
      <w:r>
        <w:rPr>
          <w:rFonts w:ascii="Arial" w:cs="Arial" w:eastAsia="Arial" w:hAnsi="Arial"/>
          <w:sz w:val="22"/>
          <w:szCs w:val="22"/>
        </w:rPr>
        <w:t xml:space="preserve">Marc's primary referral. She previously served as VP of Business Development at Utilidata (NVIDIA's flagship smart meter AI partner), so she has experience on both the startup side and the utility side. Marc offered to make the introduction directly.</w:t>
      </w:r>
    </w:p>
    <w:p>
      <w:pPr>
        <w:pStyle w:val="ListParagraph"/>
        <w:numPr>
          <w:ilvl w:val="0"/>
          <w:numId w:val="2"/>
        </w:numPr>
        <w:spacing w:after="40" w:before="40"/>
      </w:pPr>
      <w:r>
        <w:rPr>
          <w:rFonts w:ascii="Arial" w:cs="Arial" w:eastAsia="Arial" w:hAnsi="Arial"/>
          <w:b/>
          <w:bCs/>
          <w:sz w:val="22"/>
          <w:szCs w:val="22"/>
        </w:rPr>
        <w:t xml:space="preserve">Kevin Yang, NVIDIA </w:t>
      </w:r>
      <w:r>
        <w:rPr>
          <w:rFonts w:ascii="Arial" w:cs="Arial" w:eastAsia="Arial" w:hAnsi="Arial"/>
          <w:sz w:val="22"/>
          <w:szCs w:val="22"/>
        </w:rPr>
        <w:t xml:space="preserve">Internal contact for sustainable purchasing. Could connect Clear Current to NVIDIA's energy bills as a potential reference customer.</w:t>
      </w:r>
    </w:p>
    <w:p>
      <w:pPr>
        <w:pStyle w:val="Heading1"/>
      </w:pPr>
      <w:r>
        <w:rPr>
          <w:rFonts w:ascii="Arial" w:cs="Arial" w:eastAsia="Arial" w:hAnsi="Arial"/>
        </w:rPr>
        <w:t xml:space="preserve">7. Strategic Recommendations for Dan &amp; John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1: Explore the Utility-Side Sales Motion</w:t>
            </w:r>
          </w:p>
          <w:p>
            <w:pPr>
              <w:spacing w:after="0" w:before="0"/>
            </w:pPr>
            <w:r>
              <w:rPr>
                <w:rFonts w:ascii="Arial" w:cs="Arial" w:eastAsia="Arial" w:hAnsi="Arial"/>
                <w:sz w:val="21"/>
                <w:szCs w:val="21"/>
              </w:rPr>
              <w:t xml:space="preserve">Marc identified a market angle Clear Current may not have fully considered: selling to utilities, not just enterprise energy buyers. If utility bills have errors in both directions, the utility has a financial and regulatory incentive to adopt an accuracy tool. Marc suggested approaching a utility like National Grid and offering to audit a sample of bills to demonstrate the error rate.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2: Pursue the ERP/Billing Software Licensing Strategy</w:t>
            </w:r>
          </w:p>
          <w:p>
            <w:pPr>
              <w:spacing w:after="0" w:before="0"/>
            </w:pPr>
            <w:r>
              <w:rPr>
                <w:rFonts w:ascii="Arial" w:cs="Arial" w:eastAsia="Arial" w:hAnsi="Arial"/>
                <w:sz w:val="21"/>
                <w:szCs w:val="21"/>
              </w:rPr>
              <w:t xml:space="preserve">Marc's most expansive strategic recommendation was licensing Clear Current's audit capability as a module inside ERP systems (SAP, Oracle, Microsoft Dynamics, QuickBooks, JD Edwards). If Clear Current's module sat inside that workflow, it would audit bills automatically before a human reviewer approves payment - removing the direct sales burden.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3: Confirm NVIDIA Technology Usage and Apply to Inception</w:t>
            </w:r>
          </w:p>
          <w:p>
            <w:pPr>
              <w:spacing w:after="0" w:before="0"/>
            </w:pPr>
            <w:r>
              <w:rPr>
                <w:rFonts w:ascii="Arial" w:cs="Arial" w:eastAsia="Arial" w:hAnsi="Arial"/>
                <w:sz w:val="21"/>
                <w:szCs w:val="21"/>
              </w:rPr>
              <w:t xml:space="preserve">Marc was explicit: if Clear Current is using NVIDIA technology in its stack (GPUs for cloud inference, any NVIDIA component), joining the Inception program is a 'no-brainer.' The program is free, requires no equity, and provides co-marketing support, VC introductions, and enterprise matchmaking.</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4: Build the Full Recovery Case Study</w:t>
            </w:r>
          </w:p>
          <w:p>
            <w:pPr>
              <w:spacing w:after="0" w:before="0"/>
            </w:pPr>
            <w:r>
              <w:rPr>
                <w:rFonts w:ascii="Arial" w:cs="Arial" w:eastAsia="Arial" w:hAnsi="Arial"/>
                <w:sz w:val="21"/>
                <w:szCs w:val="21"/>
              </w:rPr>
              <w:t xml:space="preserve">Marc's most pointed question was whether utilities have actually issued refunds based on errors Clear Current found. If the answer is yes, that case study (error found, utility contacted, credit issued, dollars returned) is the single most powerful sales asset Clear Current can produce.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5: Connect with Morgan Stacy at National Grid</w:t>
            </w:r>
          </w:p>
          <w:p>
            <w:pPr>
              <w:spacing w:after="0" w:before="0"/>
            </w:pPr>
            <w:r>
              <w:rPr>
                <w:rFonts w:ascii="Arial" w:cs="Arial" w:eastAsia="Arial" w:hAnsi="Arial"/>
                <w:sz w:val="21"/>
                <w:szCs w:val="21"/>
              </w:rPr>
              <w:t xml:space="preserve">Marc offered to make a warm introduction to Morgan Stacy, VP of Connections &amp; Strategic Accounts at National Grid. She has both startup experience (Utilidata) and utility-side authority. A conversation with her could validate or reshape the utility-side sales motion. Marc is making the introduction.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6: Frame the TAM Story Beyond Energy for Investors</w:t>
            </w:r>
          </w:p>
          <w:p>
            <w:pPr>
              <w:spacing w:after="0" w:before="0"/>
            </w:pPr>
            <w:r>
              <w:rPr>
                <w:rFonts w:ascii="Arial" w:cs="Arial" w:eastAsia="Arial" w:hAnsi="Arial"/>
                <w:sz w:val="21"/>
                <w:szCs w:val="21"/>
              </w:rPr>
              <w:t xml:space="preserve">Marc independently identified that Clear Current's technology applies beyond energy to any industry with complex, high-volume invoicing: food service procurement, construction materials, retail, and any negotiated-price B2B purchasing. Energy is the wedge; invoice auditing is the platform.</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7: Investigate Utility Billing Software Vendors</w:t>
            </w:r>
          </w:p>
          <w:p>
            <w:pPr>
              <w:spacing w:after="0" w:before="0"/>
            </w:pPr>
            <w:r>
              <w:rPr>
                <w:rFonts w:ascii="Arial" w:cs="Arial" w:eastAsia="Arial" w:hAnsi="Arial"/>
                <w:sz w:val="21"/>
                <w:szCs w:val="21"/>
              </w:rPr>
              <w:t xml:space="preserve">Marc repeatedly returned to the idea that there are large billing software companies serving utilities - Oracle was named specifically. If Clear Current can license its audit module to the companies that build billing software for utilities, that creates a B2B2C channel.</w:t>
            </w:r>
          </w:p>
        </w:tc>
      </w:tr>
    </w:tbl>
    <w:p>
      <w:pPr>
        <w:spacing w:after="160" w:before="0"/>
      </w:pPr>
    </w:p>
    <w:p>
      <w:pPr>
        <w:pBdr>
          <w:top w:val="single" w:color="F5C518" w:sz="4"/>
        </w:pBdr>
        <w:spacing w:after="0" w:before="200"/>
      </w:pPr>
    </w:p>
    <w:p>
      <w:pPr>
        <w:spacing w:after="20" w:before="80"/>
      </w:pPr>
      <w:r>
        <w:rPr>
          <w:rFonts w:ascii="Arial" w:cs="Arial" w:eastAsia="Arial" w:hAnsi="Arial"/>
          <w:b/>
          <w:bCs/>
          <w:color w:val="0A1628"/>
          <w:sz w:val="20"/>
          <w:szCs w:val="20"/>
        </w:rPr>
        <w:t xml:space="preserve">Prepared by Clayton Hester  |  CDL MBA Consulting Team</w:t>
      </w:r>
    </w:p>
    <w:p>
      <w:pPr>
        <w:spacing w:after="20" w:before="0"/>
      </w:pPr>
      <w:r>
        <w:rPr>
          <w:rFonts w:ascii="Arial" w:cs="Arial" w:eastAsia="Arial" w:hAnsi="Arial"/>
          <w:color w:val="444444"/>
          <w:sz w:val="20"/>
          <w:szCs w:val="20"/>
        </w:rPr>
        <w:t xml:space="preserve">Team: Clayton Hester, Adam Case, Jason Wisnieski, Victor Pan</w:t>
      </w:r>
    </w:p>
    <w:p>
      <w:pPr>
        <w:spacing w:after="0" w:before="0"/>
      </w:pPr>
      <w:r>
        <w:rPr>
          <w:rFonts w:ascii="Arial" w:cs="Arial" w:eastAsia="Arial" w:hAnsi="Arial"/>
          <w:color w:val="444444"/>
          <w:sz w:val="20"/>
          <w:szCs w:val="20"/>
        </w:rPr>
        <w:t xml:space="preserve">Clear Current Technologies  |  Dan Schreiber (CPO) &amp; John Reuter (CEO)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A1628"/>
      <w:sz w:val="32"/>
      <w:szCs w:val="32"/>
    </w:rPr>
  </w:style>
  <w:style w:type="paragraph" w:styleId="Heading2">
    <w:name w:val="Heading 2"/>
    <w:basedOn w:val="Normal"/>
    <w:next w:val="Normal"/>
    <w:qFormat/>
    <w:pPr>
      <w:spacing w:after="80" w:before="200"/>
      <w:outlineLvl w:val="1"/>
    </w:pPr>
    <w:rPr>
      <w:rFonts w:ascii="Arial" w:cs="Arial" w:eastAsia="Arial" w:hAnsi="Arial"/>
      <w:b/>
      <w:bCs/>
      <w:color w:val="0A1628"/>
      <w:sz w:val="24"/>
      <w:szCs w:val="24"/>
    </w:rPr>
  </w:style>
  <w:style w:type="paragraph" w:styleId="Heading3">
    <w:name w:val="Heading 3"/>
    <w:basedOn w:val="Normal"/>
    <w:next w:val="Normal"/>
    <w:qFormat/>
    <w:pPr>
      <w:spacing w:after="6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2026-04-09T21:13:24.173Z</dcterms:created>
  <dcterms:modified xsi:type="dcterms:W3CDTF">2026-04-09T21:13:24.173Z</dcterms:modified>
</cp:coreProperties>
</file>

<file path=docProps/custom.xml><?xml version="1.0" encoding="utf-8"?>
<Properties xmlns="http://schemas.openxmlformats.org/officeDocument/2006/custom-properties" xmlns:vt="http://schemas.openxmlformats.org/officeDocument/2006/docPropsVTypes"/>
</file>