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Randy Dawes | Hyatt Hotels Corporation</w:t>
      </w:r>
    </w:p>
    <w:p>
      <w:pPr>
        <w:spacing w:after="20" w:before="0"/>
        <w:jc w:val="center"/>
      </w:pPr>
      <w:r>
        <w:rPr>
          <w:rFonts w:ascii="Arial" w:cs="Arial" w:eastAsia="Arial" w:hAnsi="Arial"/>
          <w:color w:val="444444"/>
          <w:sz w:val="22"/>
          <w:szCs w:val="22"/>
        </w:rPr>
        <w:t xml:space="preserve">Director, Openings Engineering - Design &amp; Construction Services</w:t>
      </w:r>
    </w:p>
    <w:p>
      <w:pPr>
        <w:spacing w:after="200" w:before="0"/>
        <w:jc w:val="center"/>
      </w:pPr>
      <w:r>
        <w:rPr>
          <w:rFonts w:ascii="Arial" w:cs="Arial" w:eastAsia="Arial" w:hAnsi="Arial"/>
          <w:i/>
          <w:iCs/>
          <w:color w:val="777777"/>
          <w:sz w:val="20"/>
          <w:szCs w:val="20"/>
        </w:rPr>
        <w:t xml:space="preserve">Conducted via Email  |  April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Randy Dawes brings a perspective not yet represented in this research program: the hospitality industry, and specifically the unique owner-operator structure of a global hotel brand. Hyatt operates more than 1,450 properties across 80+ countries through a mix of owned, managed, and franchised hotels. This means corporate-level energy strategy and property-level energy execution are often handled by entirely different parties, creating a data collection and accountability gap that is structurally different from what any prior interviewee has described.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before="0"/>
            </w:pPr>
            <w:r>
              <w:rPr>
                <w:rFonts w:ascii="Arial" w:cs="Arial" w:eastAsia="Arial" w:hAnsi="Arial"/>
                <w:i/>
                <w:iCs/>
                <w:color w:val="444444"/>
                <w:sz w:val="21"/>
                <w:szCs w:val="21"/>
              </w:rPr>
              <w:t xml:space="preserve">Note on Interview Format: This engagement was conducted entirely over email. As a result, responses were shorter than those gathered in live interviews with other participants in this research program. Insights are documented verbatim where possible, with analysis provided to add context. Gaps in coverage are flagged explicitly throughout the document.</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Randy Dawes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Director, Openings Engineering - Design &amp; Construction Services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Hyatt Hotels Corporation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Greater Chicago Area (Hybrid)</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Contact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randy.dawes@hyatt.com</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University of New Orleans (1981-1984); Delgado Community College (AAS)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Tenure at Hyatt (current)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January 2024 - Present (~2 years)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VP of Facilities, Enlivant (senior living operator) - 7 years | Director of Hotel Engineering, Americas, Hyatt - 11 years | Director of Engineering, Hyatt Regency New Orleans - ~4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Career Overview</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40+ year career in facilities and engineering management across hospitality and senior living.</w:t>
            </w:r>
          </w:p>
        </w:tc>
      </w:tr>
    </w:tbl>
    <w:p>
      <w:pPr>
        <w:spacing w:after="80" w:before="0"/>
      </w:pPr>
    </w:p>
    <w:p>
      <w:pPr>
        <w:spacing w:after="100" w:before="0"/>
      </w:pPr>
      <w:r>
        <w:rPr>
          <w:rFonts w:ascii="Arial" w:cs="Arial" w:eastAsia="Arial" w:hAnsi="Arial"/>
          <w:sz w:val="22"/>
          <w:szCs w:val="22"/>
        </w:rPr>
        <w:t xml:space="preserve">Randy's current title - Director of Openings Engineering - is focused on design and construction services for new Hyatt properties rather than day-to-day operational energy management. His prior role as Director of Hotel Engineering, Americas gave him deep operational experience, but his current vantage point is pre-opening and construction.</w:t>
      </w:r>
    </w:p>
    <w:p>
      <w:pPr>
        <w:pStyle w:val="Heading1"/>
      </w:pPr>
      <w:r>
        <w:rPr>
          <w:rFonts w:ascii="Arial" w:cs="Arial" w:eastAsia="Arial" w:hAnsi="Arial"/>
        </w:rPr>
        <w:t xml:space="preserve">2. Hyatt Hotels - Structure &amp; Energy Strategy Context</w:t>
      </w:r>
    </w:p>
    <w:p>
      <w:pPr>
        <w:spacing w:after="100" w:before="0"/>
      </w:pPr>
      <w:r>
        <w:rPr>
          <w:rFonts w:ascii="Arial" w:cs="Arial" w:eastAsia="Arial" w:hAnsi="Arial"/>
          <w:sz w:val="22"/>
          <w:szCs w:val="22"/>
        </w:rPr>
        <w:t xml:space="preserve">Hyatt Hotels Corporation operates across a mix of owned, managed, and franchised properties - a structure that has significant implications for how energy data is collected and who bears responsibility for energy bills. Because many Hyatt-branded properties are owned by third-party investors and operated under management agreements, the energy bills at those properties are ultimately the owner's responsibility, not Hyatt corporate's.</w:t>
      </w:r>
    </w:p>
    <w:p>
      <w:pPr>
        <w:pStyle w:val="Heading2"/>
      </w:pPr>
      <w:r>
        <w:rPr>
          <w:rFonts w:ascii="Arial" w:cs="Arial" w:eastAsia="Arial" w:hAnsi="Arial"/>
        </w:rPr>
        <w:t xml:space="preserve">2.1 Hyatt's 2030 Environmental Goals (World of Care)</w:t>
      </w:r>
    </w:p>
    <w:p>
      <w:pPr>
        <w:pStyle w:val="ListParagraph"/>
        <w:numPr>
          <w:ilvl w:val="0"/>
          <w:numId w:val="2"/>
        </w:numPr>
        <w:spacing w:after="40" w:before="40"/>
      </w:pPr>
      <w:r>
        <w:rPr>
          <w:rFonts w:ascii="Arial" w:cs="Arial" w:eastAsia="Arial" w:hAnsi="Arial"/>
          <w:b/>
          <w:bCs/>
          <w:sz w:val="22"/>
          <w:szCs w:val="22"/>
        </w:rPr>
        <w:t xml:space="preserve">27.5% reduction </w:t>
      </w:r>
      <w:r>
        <w:rPr>
          <w:rFonts w:ascii="Arial" w:cs="Arial" w:eastAsia="Arial" w:hAnsi="Arial"/>
          <w:sz w:val="22"/>
          <w:szCs w:val="22"/>
        </w:rPr>
        <w:t xml:space="preserve">in absolute Scope 1 and Scope 2 greenhouse gas emissions by 2030 vs. a 2019 baseline</w:t>
      </w:r>
    </w:p>
    <w:p>
      <w:pPr>
        <w:pStyle w:val="ListParagraph"/>
        <w:numPr>
          <w:ilvl w:val="0"/>
          <w:numId w:val="2"/>
        </w:numPr>
        <w:spacing w:after="40" w:before="40"/>
      </w:pPr>
      <w:r>
        <w:rPr>
          <w:rFonts w:ascii="Arial" w:cs="Arial" w:eastAsia="Arial" w:hAnsi="Arial"/>
          <w:b/>
          <w:bCs/>
          <w:sz w:val="22"/>
          <w:szCs w:val="22"/>
        </w:rPr>
        <w:t xml:space="preserve">53% reduction </w:t>
      </w:r>
      <w:r>
        <w:rPr>
          <w:rFonts w:ascii="Arial" w:cs="Arial" w:eastAsia="Arial" w:hAnsi="Arial"/>
          <w:sz w:val="22"/>
          <w:szCs w:val="22"/>
        </w:rPr>
        <w:t xml:space="preserve">in Scope 3 emissions per square meter by 2030 vs. 2019</w:t>
      </w:r>
    </w:p>
    <w:p>
      <w:pPr>
        <w:pStyle w:val="ListParagraph"/>
        <w:numPr>
          <w:ilvl w:val="0"/>
          <w:numId w:val="2"/>
        </w:numPr>
        <w:spacing w:after="40" w:before="40"/>
      </w:pPr>
      <w:r>
        <w:rPr>
          <w:rFonts w:ascii="Arial" w:cs="Arial" w:eastAsia="Arial" w:hAnsi="Arial"/>
          <w:b/>
          <w:bCs/>
          <w:sz w:val="22"/>
          <w:szCs w:val="22"/>
        </w:rPr>
        <w:t xml:space="preserve">50% reduction </w:t>
      </w:r>
      <w:r>
        <w:rPr>
          <w:rFonts w:ascii="Arial" w:cs="Arial" w:eastAsia="Arial" w:hAnsi="Arial"/>
          <w:sz w:val="22"/>
          <w:szCs w:val="22"/>
        </w:rPr>
        <w:t xml:space="preserve">in food waste per square meter at managed hotels by 2030 vs. 2019</w:t>
      </w:r>
    </w:p>
    <w:p>
      <w:pPr>
        <w:spacing w:after="100" w:before="0"/>
      </w:pPr>
      <w:r>
        <w:rPr>
          <w:rFonts w:ascii="Arial" w:cs="Arial" w:eastAsia="Arial" w:hAnsi="Arial"/>
          <w:sz w:val="22"/>
          <w:szCs w:val="22"/>
        </w:rPr>
        <w:t xml:space="preserve">Hyatt uses a proprietary internal tool called Hyatt EcoTrack to gather and analyze sustainability data from global hotels. Third-party data aggregators are used to pull consumption data directly from properties and feed it into the system of record.</w:t>
      </w:r>
    </w:p>
    <w:p>
      <w:pPr>
        <w:pStyle w:val="Heading1"/>
      </w:pPr>
      <w:r>
        <w:rPr>
          <w:rFonts w:ascii="Arial" w:cs="Arial" w:eastAsia="Arial" w:hAnsi="Arial"/>
        </w:rPr>
        <w:t xml:space="preserve">3. Email Q&amp;A - Verbatim Responses with Analysis</w:t>
      </w:r>
    </w:p>
    <w:p>
      <w:pPr>
        <w:pStyle w:val="Heading2"/>
      </w:pPr>
      <w:r>
        <w:rPr>
          <w:rFonts w:ascii="Arial" w:cs="Arial" w:eastAsia="Arial" w:hAnsi="Arial"/>
        </w:rPr>
        <w:t xml:space="preserve">Q1: Biggest Pain Point - Data Visibility, Bill Accuracy, Rate Optimization, or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"Given the structure of Hyatt, we have multiple partners within the operators and owners of hotels. With the magnitude of these differences the collection of the data is listed as a requirement to each hotel. How that is achieved is the use of third parties that can access the data from the hotel and then supply that information into the system of record for our energy and water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5F5F5"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Analysis</w:t>
            </w:r>
          </w:p>
          <w:p>
            <w:pPr>
              <w:spacing w:after="0" w:before="0"/>
            </w:pPr>
            <w:r>
              <w:rPr>
                <w:rFonts w:ascii="Arial" w:cs="Arial" w:eastAsia="Arial" w:hAnsi="Arial"/>
                <w:sz w:val="21"/>
                <w:szCs w:val="21"/>
              </w:rPr>
              <w:t xml:space="preserve">Randy did not directly answer which pain point is biggest. His response describes the data collection mechanism rather than the pain. The implication is that data collection itself - getting reliable consumption data out of hundreds of independently operated properties - is the underlying challenge. The phrase 'multiple partners within operators and owners' signals a fragmented accountability structure. No single party owns the full picture. A follow-up question should ask: where does data go missing or arrive inconsistently, and what does that cost in terms of reporting accuracy?</w:t>
            </w:r>
          </w:p>
        </w:tc>
      </w:tr>
    </w:tbl>
    <w:p>
      <w:pPr>
        <w:pStyle w:val="Heading2"/>
      </w:pPr>
      <w:r>
        <w:rPr>
          <w:rFonts w:ascii="Arial" w:cs="Arial" w:eastAsia="Arial" w:hAnsi="Arial"/>
        </w:rPr>
        <w:t xml:space="preserve">Q2: Energy Management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company is focused on year 2030 goals for reduction of consumption. Our constant focus is on those reductions and how to contribute to a better world. Our reporting data is required at the end of the 1st quarter for previous year along with a mid-year check in on progress."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5F5F5"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Analysis</w:t>
            </w:r>
          </w:p>
          <w:p>
            <w:pPr>
              <w:spacing w:after="0" w:before="0"/>
            </w:pPr>
            <w:r>
              <w:rPr>
                <w:rFonts w:ascii="Arial" w:cs="Arial" w:eastAsia="Arial" w:hAnsi="Arial"/>
                <w:sz w:val="21"/>
                <w:szCs w:val="21"/>
              </w:rPr>
              <w:t xml:space="preserve">The calendar described is an ESG reporting calendar, not an operational energy management calendar. End of Q1 = prior-year reporting deadline. Mid-year = progress check-in. This is the clearest signal yet that Randy's perspective is corporate/strategic, not property-operational. The seasonal consumption patterns, procurement windows, and reactive stress points that characterize operators like Panda or Texas State simply don't appear at this level. For the Seasonal Energy Management Calendar deliverable, Hyatt's profile is: Q1 reporting deadline, mid-year check-in, otherwise continuous focus on 2030 goal trajectory.</w:t>
            </w:r>
          </w:p>
        </w:tc>
      </w:tr>
    </w:tbl>
    <w:p>
      <w:pPr>
        <w:pStyle w:val="Heading2"/>
      </w:pPr>
      <w:r>
        <w:rPr>
          <w:rFonts w:ascii="Arial" w:cs="Arial" w:eastAsia="Arial" w:hAnsi="Arial"/>
        </w:rPr>
        <w:t xml:space="preserve">Q3: If You Could Automate One Task, What Would It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energy management wish would be better reporting of consumption; the world today has many different metrics for measuring these critical items. Thinking how can we get everyone on the same platform for these metrics, similarity would allow for easier understanding of what each unit of water means, and what each unit of energy means. With the multiple different recording or reporting units used today, transferring that data is easy to do for the corporation, but difficult to show what each hotel's consumption means to the person who consumes the unit."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5F5F5"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Analysis</w:t>
            </w:r>
          </w:p>
          <w:p>
            <w:pPr>
              <w:spacing w:after="0" w:before="0"/>
            </w:pPr>
            <w:r>
              <w:rPr>
                <w:rFonts w:ascii="Arial" w:cs="Arial" w:eastAsia="Arial" w:hAnsi="Arial"/>
                <w:sz w:val="21"/>
                <w:szCs w:val="21"/>
              </w:rPr>
              <w:t xml:space="preserve">This is the most substantive and differentiated finding from this interview. Randy is describing a metrics standardization problem: different properties report energy in different units, making it impossible to create a common language around consumption that resonates at the property level. The distinction he draws is important: data transfer to corporate is manageable, but making that data meaningful to the person actually consuming the energy is not solved. For Clear Current: a product that normalizes energy data across properties and surfaces it in terms that resonate with hotel operators (cost per occupied room, energy intensity per square foot) addresses this pain directly.</w:t>
            </w:r>
          </w:p>
        </w:tc>
      </w:tr>
    </w:tbl>
    <w:p>
      <w:pPr>
        <w:pStyle w:val="Heading2"/>
      </w:pPr>
      <w:r>
        <w:rPr>
          <w:rFonts w:ascii="Arial" w:cs="Arial" w:eastAsia="Arial" w:hAnsi="Arial"/>
        </w:rPr>
        <w:t xml:space="preserve">Q4: Billing Errors and Rate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"At the corporate level we do not review these or get access to that. In my previous life there are more issues with the invoice arriving late or at the due date, this seems to be a concern based on the billing of late fees. Automation of invoices appears to be a fix to that issue."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5F5F5"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Analysis</w:t>
            </w:r>
          </w:p>
          <w:p>
            <w:pPr>
              <w:spacing w:after="0" w:before="0"/>
            </w:pPr>
            <w:r>
              <w:rPr>
                <w:rFonts w:ascii="Arial" w:cs="Arial" w:eastAsia="Arial" w:hAnsi="Arial"/>
                <w:sz w:val="21"/>
                <w:szCs w:val="21"/>
              </w:rPr>
              <w:t xml:space="preserve">Randy confirmed directly that billing error detection does not happen at the Hyatt corporate level. His comment about 'previous life' (likely his Enlivant VP role overseeing senior living facilities) is notable: late invoices and late fees were a real operational pain there. He sees invoice automation as the fix - which aligns with what Roger at Panda described as the primary function of NG Insight. For Clear Current: Hyatt corporate is not the right buyer for billing error detection. The right entry point in hospitality is either (a) individual hotel owners/operators managing their own properties, or (b) hotel management companies running portfolios of managed properties.</w:t>
            </w:r>
          </w:p>
        </w:tc>
      </w:tr>
    </w:tbl>
    <w:p>
      <w:pPr>
        <w:pStyle w:val="Heading1"/>
      </w:pPr>
      <w:r>
        <w:rPr>
          <w:rFonts w:ascii="Arial" w:cs="Arial" w:eastAsia="Arial" w:hAnsi="Arial"/>
        </w:rPr>
        <w:t xml:space="preserve">4. Key Takeaways</w:t>
      </w:r>
    </w:p>
    <w:p>
      <w:pPr>
        <w:pStyle w:val="ListParagraph"/>
        <w:numPr>
          <w:ilvl w:val="0"/>
          <w:numId w:val="2"/>
        </w:numPr>
        <w:spacing w:after="40" w:before="40"/>
      </w:pPr>
      <w:r>
        <w:rPr>
          <w:rFonts w:ascii="Arial" w:cs="Arial" w:eastAsia="Arial" w:hAnsi="Arial"/>
          <w:sz w:val="22"/>
          <w:szCs w:val="22"/>
        </w:rPr>
        <w:t xml:space="preserve">Hyatt's owner-operator structure means corporate does not touch utility invoices. Billing error detection, rate optimization, and invoice processing happen at the property or ownership level, not at HQ.</w:t>
      </w:r>
    </w:p>
    <w:p>
      <w:pPr>
        <w:pStyle w:val="ListParagraph"/>
        <w:numPr>
          <w:ilvl w:val="0"/>
          <w:numId w:val="2"/>
        </w:numPr>
        <w:spacing w:after="40" w:before="40"/>
      </w:pPr>
      <w:r>
        <w:rPr>
          <w:rFonts w:ascii="Arial" w:cs="Arial" w:eastAsia="Arial" w:hAnsi="Arial"/>
          <w:sz w:val="22"/>
          <w:szCs w:val="22"/>
        </w:rPr>
        <w:t xml:space="preserve">The biggest pain Randy surfaced is metrics fragmentation: different units across properties make it hard to communicate energy consumption in a way that means something to the person using the energy.</w:t>
      </w:r>
    </w:p>
    <w:p>
      <w:pPr>
        <w:pStyle w:val="ListParagraph"/>
        <w:numPr>
          <w:ilvl w:val="0"/>
          <w:numId w:val="2"/>
        </w:numPr>
        <w:spacing w:after="40" w:before="40"/>
      </w:pPr>
      <w:r>
        <w:rPr>
          <w:rFonts w:ascii="Arial" w:cs="Arial" w:eastAsia="Arial" w:hAnsi="Arial"/>
          <w:sz w:val="22"/>
          <w:szCs w:val="22"/>
        </w:rPr>
        <w:t xml:space="preserve">Hyatt's energy calendar is an ESG reporting calendar, not an operational one. Q1 prior-year reporting and a mid-year check-in are the two anchor points.</w:t>
      </w:r>
    </w:p>
    <w:p>
      <w:pPr>
        <w:pStyle w:val="ListParagraph"/>
        <w:numPr>
          <w:ilvl w:val="0"/>
          <w:numId w:val="2"/>
        </w:numPr>
        <w:spacing w:after="40" w:before="40"/>
      </w:pPr>
      <w:r>
        <w:rPr>
          <w:rFonts w:ascii="Arial" w:cs="Arial" w:eastAsia="Arial" w:hAnsi="Arial"/>
          <w:sz w:val="22"/>
          <w:szCs w:val="22"/>
        </w:rPr>
        <w:t xml:space="preserve">The right buyer in hospitality is not a brand's corporate team. It's individual hotel owners, asset managers, or management companies running multiple properties who bear direct responsibility for utility costs.</w:t>
      </w:r>
    </w:p>
    <w:p>
      <w:pPr>
        <w:pStyle w:val="ListParagraph"/>
        <w:numPr>
          <w:ilvl w:val="0"/>
          <w:numId w:val="2"/>
        </w:numPr>
        <w:spacing w:after="40" w:before="40"/>
      </w:pPr>
      <w:r>
        <w:rPr>
          <w:rFonts w:ascii="Arial" w:cs="Arial" w:eastAsia="Arial" w:hAnsi="Arial"/>
          <w:sz w:val="22"/>
          <w:szCs w:val="22"/>
        </w:rPr>
        <w:t xml:space="preserve">Invoice automation (solving late arrivals and associated late fees) is the most clearly articulated problem Randy has seen at the operational level, consistent with what Roger Goldstein described at Panda.</w:t>
      </w:r>
    </w:p>
    <w:p>
      <w:pPr>
        <w:pStyle w:val="Heading1"/>
      </w:pPr>
      <w:r>
        <w:rPr>
          <w:rFonts w:ascii="Arial" w:cs="Arial" w:eastAsia="Arial" w:hAnsi="Arial"/>
        </w:rPr>
        <w:t xml:space="preserve">5. Strategic Implications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Finding 1: Hospitality Corporate Is Not the Right Entry Point</w:t>
            </w:r>
          </w:p>
          <w:p>
            <w:pPr>
              <w:spacing w:after="0" w:before="0"/>
            </w:pPr>
            <w:r>
              <w:rPr>
                <w:rFonts w:ascii="Arial" w:cs="Arial" w:eastAsia="Arial" w:hAnsi="Arial"/>
                <w:sz w:val="21"/>
                <w:szCs w:val="21"/>
              </w:rPr>
              <w:t xml:space="preserve">Hyatt corporate does not touch invoices. For this vertical, Clear Current should target individual hotel owners, asset managers, or management companies running portfolios of managed properties rather than corporate sustainability teams.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Finding 2: Metrics Normalization Is a Hospitality-Specific Need</w:t>
            </w:r>
          </w:p>
          <w:p>
            <w:pPr>
              <w:spacing w:after="0" w:before="0"/>
            </w:pPr>
            <w:r>
              <w:rPr>
                <w:rFonts w:ascii="Arial" w:cs="Arial" w:eastAsia="Arial" w:hAnsi="Arial"/>
                <w:sz w:val="21"/>
                <w:szCs w:val="21"/>
              </w:rPr>
              <w:t xml:space="preserve">Randy's most substantive finding was that different properties report energy in different units, making portfolio comparison impossible. A product that normalizes energy data and surfaces it in operator-meaningful terms (cost per occupied room, energy intensity per sq ft) addresses a real gap.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Finding 3: Invoice Automation Is the Hospitality Entry Pitch</w:t>
            </w:r>
          </w:p>
          <w:p>
            <w:pPr>
              <w:spacing w:after="0" w:before="0"/>
            </w:pPr>
            <w:r>
              <w:rPr>
                <w:rFonts w:ascii="Arial" w:cs="Arial" w:eastAsia="Arial" w:hAnsi="Arial"/>
                <w:sz w:val="21"/>
                <w:szCs w:val="21"/>
              </w:rPr>
              <w:t xml:space="preserve">At the operational level, the clearest pain Randy described is invoice processing: late arrivals and late fees. The entry pitch for hospitality operators should lead with 'we make sure your bills arrive, get paid on time, and are correct' before moving to optimization.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Finding 4: Follow Up Is Recommended Before Drawing Firm Conclusions</w:t>
            </w:r>
          </w:p>
          <w:p>
            <w:pPr>
              <w:spacing w:after="0" w:before="0"/>
            </w:pPr>
            <w:r>
              <w:rPr>
                <w:rFonts w:ascii="Arial" w:cs="Arial" w:eastAsia="Arial" w:hAnsi="Arial"/>
                <w:sz w:val="21"/>
                <w:szCs w:val="21"/>
              </w:rPr>
              <w:t xml:space="preserve">This engagement was conducted via email with limited response depth. Randy's perspective reflects corporate/strategic viewpoint rather than property operations. A follow-up interview with a hotel GM, director of engineering, or hotel management company representative would provide the operational perspective needed to fully map the hospitality vertical.</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2026-04-09T21:13:24.205Z</dcterms:created>
  <dcterms:modified xsi:type="dcterms:W3CDTF">2026-04-09T21:13:24.205Z</dcterms:modified>
</cp:coreProperties>
</file>

<file path=docProps/custom.xml><?xml version="1.0" encoding="utf-8"?>
<Properties xmlns="http://schemas.openxmlformats.org/officeDocument/2006/custom-properties" xmlns:vt="http://schemas.openxmlformats.org/officeDocument/2006/docPropsVTypes"/>
</file>