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F5C518" w:sz="8"/>
        </w:pBdr>
        <w:spacing w:after="60" w:before="0"/>
        <w:jc w:val="center"/>
      </w:pPr>
      <w:r>
        <w:rPr>
          <w:rFonts w:ascii="Arial" w:cs="Arial" w:eastAsia="Arial" w:hAnsi="Arial"/>
          <w:b/>
          <w:bCs/>
          <w:color w:val="0A1628"/>
          <w:sz w:val="36"/>
          <w:szCs w:val="36"/>
        </w:rPr>
        <w:t xml:space="preserve">Interview Summary</w:t>
      </w:r>
    </w:p>
    <w:p>
      <w:pPr>
        <w:spacing w:after="20" w:before="100"/>
        <w:jc w:val="center"/>
      </w:pPr>
      <w:r>
        <w:rPr>
          <w:rFonts w:ascii="Arial" w:cs="Arial" w:eastAsia="Arial" w:hAnsi="Arial"/>
          <w:b/>
          <w:bCs/>
          <w:color w:val="444444"/>
          <w:sz w:val="26"/>
          <w:szCs w:val="26"/>
        </w:rPr>
        <w:t xml:space="preserve">Roger Goldstein | Panda Restaurant Group</w:t>
      </w:r>
    </w:p>
    <w:p>
      <w:pPr>
        <w:spacing w:after="20" w:before="0"/>
        <w:jc w:val="center"/>
      </w:pPr>
      <w:r>
        <w:rPr>
          <w:rFonts w:ascii="Arial" w:cs="Arial" w:eastAsia="Arial" w:hAnsi="Arial"/>
          <w:color w:val="444444"/>
          <w:sz w:val="22"/>
          <w:szCs w:val="22"/>
        </w:rPr>
        <w:t xml:space="preserve">Executive Director, Facilities &amp; Energy</w:t>
      </w:r>
    </w:p>
    <w:p>
      <w:pPr>
        <w:spacing w:after="200" w:before="0"/>
        <w:jc w:val="center"/>
      </w:pPr>
      <w:r>
        <w:rPr>
          <w:rFonts w:ascii="Arial" w:cs="Arial" w:eastAsia="Arial" w:hAnsi="Arial"/>
          <w:i/>
          <w:iCs/>
          <w:color w:val="777777"/>
          <w:sz w:val="20"/>
          <w:szCs w:val="20"/>
        </w:rPr>
        <w:t xml:space="preserve">Conducted by Clayton Hester  |  April 2026</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C518" w:sz="6"/>
              <w:left w:val="single" w:color="F5C518" w:sz="6"/>
              <w:bottom w:val="single" w:color="F5C518" w:sz="6"/>
              <w:right w:val="single" w:color="F5C518" w:sz="6"/>
            </w:tcBorders>
            <w:shd w:fill="FEF9E7" w:val="clear"/>
            <w:tcMar>
              <w:top w:type="dxa" w:w="120"/>
              <w:left w:type="dxa" w:w="160"/>
              <w:bottom w:type="dxa" w:w="120"/>
              <w:right w:type="dxa" w:w="160"/>
            </w:tcMar>
          </w:tcPr>
          <w:p>
            <w:pPr>
              <w:spacing w:after="60" w:before="0"/>
            </w:pPr>
            <w:r>
              <w:rPr>
                <w:rFonts w:ascii="Arial" w:cs="Arial" w:eastAsia="Arial" w:hAnsi="Arial"/>
                <w:b/>
                <w:bCs/>
                <w:color w:val="0A1628"/>
                <w:sz w:val="22"/>
                <w:szCs w:val="22"/>
              </w:rPr>
              <w:t xml:space="preserve">Why This Interview Matters</w:t>
            </w:r>
          </w:p>
          <w:p>
            <w:pPr>
              <w:spacing w:after="0" w:before="0"/>
            </w:pPr>
            <w:r>
              <w:rPr>
                <w:rFonts w:ascii="Arial" w:cs="Arial" w:eastAsia="Arial" w:hAnsi="Arial"/>
                <w:sz w:val="21"/>
                <w:szCs w:val="21"/>
              </w:rPr>
              <w:t xml:space="preserve">Roger Goldstein is one of the most operationally relevant interviewees in this research program. As Executive Director of Facilities and Energy at Panda Restaurant Group, he holds direct oversight of energy management, utility billing, and facilities operations across approximately 2,600 locations in the U.S. He has been at Panda for nearly 20 years and took on the energy portfolio in 2014 after building out the entire facilities organization from scratch. He sits at the exact intersection of scale, operational complexity, and dollar-driven decision-making that Clear Current is designed to serve. Roger is the first true multi-site commercial end-user in this research program.</w:t>
            </w:r>
          </w:p>
        </w:tc>
      </w:tr>
    </w:tbl>
    <w:p>
      <w:pPr>
        <w:spacing w:after="160" w:before="0"/>
      </w:pPr>
    </w:p>
    <w:p>
      <w:pPr>
        <w:pStyle w:val="Heading1"/>
      </w:pPr>
      <w:r>
        <w:rPr>
          <w:rFonts w:ascii="Arial" w:cs="Arial" w:eastAsia="Arial" w:hAnsi="Arial"/>
        </w:rPr>
        <w:t xml:space="preserve">1. Interviewee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D0D0D0" w:sz="1"/>
              <w:left w:val="single" w:color="D0D0D0" w:sz="1"/>
              <w:bottom w:val="single" w:color="D0D0D0" w:sz="1"/>
              <w:right w:val="single" w:color="D0D0D0" w:sz="1"/>
            </w:tcBorders>
            <w:shd w:fill="0A1628" w:val="clear"/>
            <w:tcMar>
              <w:top w:type="dxa" w:w="80"/>
              <w:left w:type="dxa" w:w="120"/>
              <w:bottom w:type="dxa" w:w="80"/>
              <w:right w:type="dxa" w:w="120"/>
            </w:tcMar>
          </w:tcPr>
          <w:p>
            <w:r>
              <w:rPr>
                <w:rFonts w:ascii="Arial" w:cs="Arial" w:eastAsia="Arial" w:hAnsi="Arial"/>
                <w:b/>
                <w:bCs/>
                <w:color w:val="FFFFFF"/>
                <w:sz w:val="21"/>
                <w:szCs w:val="21"/>
              </w:rPr>
              <w:t xml:space="preserve">Field</w:t>
            </w:r>
          </w:p>
        </w:tc>
        <w:tc>
          <w:tcPr>
            <w:tcW w:type="dxa" w:w="7020"/>
            <w:tcBorders>
              <w:top w:val="single" w:color="D0D0D0" w:sz="1"/>
              <w:left w:val="single" w:color="D0D0D0" w:sz="1"/>
              <w:bottom w:val="single" w:color="D0D0D0" w:sz="1"/>
              <w:right w:val="single" w:color="D0D0D0" w:sz="1"/>
            </w:tcBorders>
            <w:shd w:fill="0A1628" w:val="clear"/>
            <w:tcMar>
              <w:top w:type="dxa" w:w="80"/>
              <w:left w:type="dxa" w:w="120"/>
              <w:bottom w:type="dxa" w:w="80"/>
              <w:right w:type="dxa" w:w="120"/>
            </w:tcMar>
          </w:tcPr>
          <w:p>
            <w:r>
              <w:rPr>
                <w:rFonts w:ascii="Arial" w:cs="Arial" w:eastAsia="Arial" w:hAnsi="Arial"/>
                <w:b/>
                <w:bCs/>
                <w:color w:val="FFFFFF"/>
                <w:sz w:val="21"/>
                <w:szCs w:val="21"/>
              </w:rPr>
              <w:t xml:space="preserve">Detail</w:t>
            </w:r>
          </w:p>
        </w:tc>
      </w:tr>
      <w:tr>
        <w:tc>
          <w:tcPr>
            <w:tcW w:type="dxa" w:w="234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b/>
                <w:bCs/>
                <w:color w:val="0A1628"/>
                <w:sz w:val="21"/>
                <w:szCs w:val="21"/>
              </w:rPr>
              <w:t xml:space="preserve">Name</w:t>
            </w:r>
          </w:p>
        </w:tc>
        <w:tc>
          <w:tcPr>
            <w:tcW w:type="dxa" w:w="702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sz w:val="21"/>
                <w:szCs w:val="21"/>
              </w:rPr>
              <w:t xml:space="preserve">Roger Goldstein</w:t>
            </w:r>
          </w:p>
        </w:tc>
      </w:tr>
      <w:tr>
        <w:tc>
          <w:tcPr>
            <w:tcW w:type="dxa" w:w="23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0A1628"/>
                <w:sz w:val="21"/>
                <w:szCs w:val="21"/>
              </w:rPr>
              <w:t xml:space="preserve">Title</w:t>
            </w:r>
          </w:p>
        </w:tc>
        <w:tc>
          <w:tcPr>
            <w:tcW w:type="dxa" w:w="70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Executive Director, Facilities &amp; Energy</w:t>
            </w:r>
          </w:p>
        </w:tc>
      </w:tr>
      <w:tr>
        <w:tc>
          <w:tcPr>
            <w:tcW w:type="dxa" w:w="234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b/>
                <w:bCs/>
                <w:color w:val="0A1628"/>
                <w:sz w:val="21"/>
                <w:szCs w:val="21"/>
              </w:rPr>
              <w:t xml:space="preserve">Company</w:t>
            </w:r>
          </w:p>
        </w:tc>
        <w:tc>
          <w:tcPr>
            <w:tcW w:type="dxa" w:w="702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sz w:val="21"/>
                <w:szCs w:val="21"/>
              </w:rPr>
              <w:t xml:space="preserve">Panda Restaurant Group</w:t>
            </w:r>
          </w:p>
        </w:tc>
      </w:tr>
      <w:tr>
        <w:tc>
          <w:tcPr>
            <w:tcW w:type="dxa" w:w="23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0A1628"/>
                <w:sz w:val="21"/>
                <w:szCs w:val="21"/>
              </w:rPr>
              <w:t xml:space="preserve">Location</w:t>
            </w:r>
          </w:p>
        </w:tc>
        <w:tc>
          <w:tcPr>
            <w:tcW w:type="dxa" w:w="70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Los Angeles, CA (Southern California)</w:t>
            </w:r>
          </w:p>
        </w:tc>
      </w:tr>
      <w:tr>
        <w:tc>
          <w:tcPr>
            <w:tcW w:type="dxa" w:w="234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b/>
                <w:bCs/>
                <w:color w:val="0A1628"/>
                <w:sz w:val="21"/>
                <w:szCs w:val="21"/>
              </w:rPr>
              <w:t xml:space="preserve">Certifications</w:t>
            </w:r>
          </w:p>
        </w:tc>
        <w:tc>
          <w:tcPr>
            <w:tcW w:type="dxa" w:w="702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sz w:val="21"/>
                <w:szCs w:val="21"/>
              </w:rPr>
              <w:t xml:space="preserve">CRFP (Certified Restaurant Facilities Professional)</w:t>
            </w:r>
          </w:p>
        </w:tc>
      </w:tr>
      <w:tr>
        <w:tc>
          <w:tcPr>
            <w:tcW w:type="dxa" w:w="23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0A1628"/>
                <w:sz w:val="21"/>
                <w:szCs w:val="21"/>
              </w:rPr>
              <w:t xml:space="preserve">Industry Involvement</w:t>
            </w:r>
          </w:p>
        </w:tc>
        <w:tc>
          <w:tcPr>
            <w:tcW w:type="dxa" w:w="70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RFMA (Restaurant Facilities Managers Association) Board of Directors Member</w:t>
            </w:r>
          </w:p>
        </w:tc>
      </w:tr>
      <w:tr>
        <w:tc>
          <w:tcPr>
            <w:tcW w:type="dxa" w:w="234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b/>
                <w:bCs/>
                <w:color w:val="0A1628"/>
                <w:sz w:val="21"/>
                <w:szCs w:val="21"/>
              </w:rPr>
              <w:t xml:space="preserve">Education</w:t>
            </w:r>
          </w:p>
        </w:tc>
        <w:tc>
          <w:tcPr>
            <w:tcW w:type="dxa" w:w="702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sz w:val="21"/>
                <w:szCs w:val="21"/>
              </w:rPr>
              <w:t xml:space="preserve">BS, Range Science &amp; Ranch Management, Texas A&amp;M University (Class of 1983)</w:t>
            </w:r>
          </w:p>
        </w:tc>
      </w:tr>
      <w:tr>
        <w:tc>
          <w:tcPr>
            <w:tcW w:type="dxa" w:w="23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0A1628"/>
                <w:sz w:val="21"/>
                <w:szCs w:val="21"/>
              </w:rPr>
              <w:t xml:space="preserve">Tenure at Panda</w:t>
            </w:r>
          </w:p>
        </w:tc>
        <w:tc>
          <w:tcPr>
            <w:tcW w:type="dxa" w:w="70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~20 years (started 2006)</w:t>
            </w:r>
          </w:p>
        </w:tc>
      </w:tr>
      <w:tr>
        <w:tc>
          <w:tcPr>
            <w:tcW w:type="dxa" w:w="234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b/>
                <w:bCs/>
                <w:color w:val="0A1628"/>
                <w:sz w:val="21"/>
                <w:szCs w:val="21"/>
              </w:rPr>
              <w:t xml:space="preserve">Prior Experience</w:t>
            </w:r>
          </w:p>
        </w:tc>
        <w:tc>
          <w:tcPr>
            <w:tcW w:type="dxa" w:w="702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sz w:val="21"/>
                <w:szCs w:val="21"/>
              </w:rPr>
              <w:t xml:space="preserve">Ranch management | Banking &amp; financial planning | Construction | Hotel management | Restaurant equipment &amp; refrigeration service (10 yrs, Albuquerque)</w:t>
            </w:r>
          </w:p>
        </w:tc>
      </w:tr>
      <w:tr>
        <w:tc>
          <w:tcPr>
            <w:tcW w:type="dxa" w:w="23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0A1628"/>
                <w:sz w:val="21"/>
                <w:szCs w:val="21"/>
              </w:rPr>
              <w:t xml:space="preserve">Career at Panda</w:t>
            </w:r>
          </w:p>
        </w:tc>
        <w:tc>
          <w:tcPr>
            <w:tcW w:type="dxa" w:w="70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Regional Facilities Manager (2006) &gt; Supervising Facilities Leader (2008) &gt; Director of Facilities (2011) &gt; Executive Director, Facilities (2013) &gt; Added Energy &amp; Waste portfolio (2014)</w:t>
            </w:r>
          </w:p>
        </w:tc>
      </w:tr>
      <w:tr>
        <w:tc>
          <w:tcPr>
            <w:tcW w:type="dxa" w:w="234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b/>
                <w:bCs/>
                <w:color w:val="0A1628"/>
                <w:sz w:val="21"/>
                <w:szCs w:val="21"/>
              </w:rPr>
              <w:t xml:space="preserve">Scale of Oversight</w:t>
            </w:r>
          </w:p>
        </w:tc>
        <w:tc>
          <w:tcPr>
            <w:tcW w:type="dxa" w:w="702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sz w:val="21"/>
                <w:szCs w:val="21"/>
              </w:rPr>
              <w:t xml:space="preserve">~2,600 Panda Express locations across the U.S., approximately 10,000 utility bills processed per month</w:t>
            </w:r>
          </w:p>
        </w:tc>
      </w:tr>
    </w:tbl>
    <w:p>
      <w:pPr>
        <w:spacing w:after="80" w:before="0"/>
      </w:pPr>
    </w:p>
    <w:p>
      <w:pPr>
        <w:spacing w:after="100" w:before="0"/>
      </w:pPr>
      <w:r>
        <w:rPr>
          <w:rFonts w:ascii="Arial" w:cs="Arial" w:eastAsia="Arial" w:hAnsi="Arial"/>
          <w:sz w:val="22"/>
          <w:szCs w:val="22"/>
        </w:rPr>
        <w:t xml:space="preserve">Roger's path to energy management was not linear. He built his career in facilities, working his way from regional manager to running Panda's entire facilities organization before taking on energy and waste in 2014. His perspective on energy is grounded in operational reality, not engineering theory. He thinks in terms of business impact, dollar leakage, and vendor relationships.</w:t>
      </w:r>
    </w:p>
    <w:p>
      <w:pPr>
        <w:pStyle w:val="Heading1"/>
      </w:pPr>
      <w:r>
        <w:rPr>
          <w:rFonts w:ascii="Arial" w:cs="Arial" w:eastAsia="Arial" w:hAnsi="Arial"/>
        </w:rPr>
        <w:t xml:space="preserve">2. Panda Restaurant Group - Energy Operations Overview</w:t>
      </w:r>
    </w:p>
    <w:p>
      <w:pPr>
        <w:pStyle w:val="Heading2"/>
      </w:pPr>
      <w:r>
        <w:rPr>
          <w:rFonts w:ascii="Arial" w:cs="Arial" w:eastAsia="Arial" w:hAnsi="Arial"/>
        </w:rPr>
        <w:t xml:space="preserve">2.1 Third-Party Bill Processing: NG Insight</w:t>
      </w:r>
    </w:p>
    <w:p>
      <w:pPr>
        <w:spacing w:after="100" w:before="0"/>
      </w:pPr>
      <w:r>
        <w:rPr>
          <w:rFonts w:ascii="Arial" w:cs="Arial" w:eastAsia="Arial" w:hAnsi="Arial"/>
          <w:sz w:val="22"/>
          <w:szCs w:val="22"/>
        </w:rPr>
        <w:t xml:space="preserve">Panda outsources its utility bill processing entirely to NG Insight, a third-party bill pay service. All invoices are routed to NG Insight, where they are received electronically or manually scanned, keyed into the system, compiled by due date, and batched back to Panda for a single consolidated payment run once per day. Without this, Roger estimated it would require four to six dedicated accounting headcount just to manage bill intake.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C518" w:sz="4"/>
              <w:left w:val="single" w:color="F5C518" w:sz="4"/>
              <w:bottom w:val="single" w:color="F5C518" w:sz="4"/>
              <w:right w:val="single" w:color="F5C518" w:sz="4"/>
            </w:tcBorders>
            <w:shd w:fill="FEF9E7" w:val="clear"/>
            <w:tcMar>
              <w:top w:type="dxa" w:w="120"/>
              <w:left w:type="dxa" w:w="160"/>
              <w:bottom w:type="dxa" w:w="120"/>
              <w:right w:type="dxa" w:w="160"/>
            </w:tcMar>
          </w:tcPr>
          <w:p>
            <w:pPr>
              <w:spacing w:after="40" w:before="0"/>
            </w:pPr>
            <w:r>
              <w:rPr>
                <w:rFonts w:ascii="Arial" w:cs="Arial" w:eastAsia="Arial" w:hAnsi="Arial"/>
                <w:b/>
                <w:bCs/>
                <w:color w:val="0A1628"/>
                <w:sz w:val="21"/>
                <w:szCs w:val="21"/>
              </w:rPr>
              <w:t xml:space="preserve">Key Takeaway for Clear Current</w:t>
            </w:r>
          </w:p>
          <w:p>
            <w:pPr>
              <w:spacing w:after="0" w:before="0"/>
            </w:pPr>
            <w:r>
              <w:rPr>
                <w:rFonts w:ascii="Arial" w:cs="Arial" w:eastAsia="Arial" w:hAnsi="Arial"/>
                <w:sz w:val="21"/>
                <w:szCs w:val="21"/>
              </w:rPr>
              <w:t xml:space="preserve">NG Insight is already named by multiple interviewees (including Roger at Panda and the pending ENGIE contact) as a direct go-to-market pathway. Roger proactively offered to connect the team with his NG Insight account lead. This is a warm channel introduction opportunity that should be followed up on immediately.</w:t>
            </w:r>
          </w:p>
        </w:tc>
      </w:tr>
    </w:tbl>
    <w:p>
      <w:pPr>
        <w:pStyle w:val="Heading2"/>
      </w:pPr>
      <w:r>
        <w:rPr>
          <w:rFonts w:ascii="Arial" w:cs="Arial" w:eastAsia="Arial" w:hAnsi="Arial"/>
        </w:rPr>
        <w:t xml:space="preserve">2.2 Exception Monitoring is Manual and Threshold-Based</w:t>
      </w:r>
    </w:p>
    <w:p>
      <w:pPr>
        <w:spacing w:after="100" w:before="0"/>
      </w:pPr>
      <w:r>
        <w:rPr>
          <w:rFonts w:ascii="Arial" w:cs="Arial" w:eastAsia="Arial" w:hAnsi="Arial"/>
          <w:sz w:val="22"/>
          <w:szCs w:val="22"/>
        </w:rPr>
        <w:t xml:space="preserve">NG Insight allows Panda to set alert parameters. If a location's bill spikes significantly above its rolling average (Roger's example: a $2,000 average bill jumps to $12,000), the system flags it as an exception. The actual review and triage is handled by a small internal team: one energy manager and one energy associate. Data extracted from NG Insight is pulled to Excel, where the team scrubs it for anomalies and monitors year-over-year spend trends.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C518" w:sz="4"/>
              <w:left w:val="single" w:color="F5C518" w:sz="4"/>
              <w:bottom w:val="single" w:color="F5C518" w:sz="4"/>
              <w:right w:val="single" w:color="F5C518" w:sz="4"/>
            </w:tcBorders>
            <w:shd w:fill="FEF9E7" w:val="clear"/>
            <w:tcMar>
              <w:top w:type="dxa" w:w="120"/>
              <w:left w:type="dxa" w:w="160"/>
              <w:bottom w:type="dxa" w:w="120"/>
              <w:right w:type="dxa" w:w="160"/>
            </w:tcMar>
          </w:tcPr>
          <w:p>
            <w:pPr>
              <w:spacing w:after="40" w:before="0"/>
            </w:pPr>
            <w:r>
              <w:rPr>
                <w:rFonts w:ascii="Arial" w:cs="Arial" w:eastAsia="Arial" w:hAnsi="Arial"/>
                <w:b/>
                <w:bCs/>
                <w:color w:val="0A1628"/>
                <w:sz w:val="21"/>
                <w:szCs w:val="21"/>
              </w:rPr>
              <w:t xml:space="preserve">Key Takeaway for Clear Current</w:t>
            </w:r>
          </w:p>
          <w:p>
            <w:pPr>
              <w:spacing w:after="0" w:before="0"/>
            </w:pPr>
            <w:r>
              <w:rPr>
                <w:rFonts w:ascii="Arial" w:cs="Arial" w:eastAsia="Arial" w:hAnsi="Arial"/>
                <w:sz w:val="21"/>
                <w:szCs w:val="21"/>
              </w:rPr>
              <w:t xml:space="preserve">The current workflow is: bill processing by a third party &gt; threshold-based exception flagging &gt; manual review by two people using Excel. This is exactly the workflow Clear Current is designed to improve. The exception logic is rule-based and static. Clear Current's AI layer could identify patterns that a static threshold would miss entirely.</w:t>
            </w:r>
          </w:p>
        </w:tc>
      </w:tr>
    </w:tbl>
    <w:p>
      <w:pPr>
        <w:pStyle w:val="Heading1"/>
      </w:pPr>
      <w:r>
        <w:rPr>
          <w:rFonts w:ascii="Arial" w:cs="Arial" w:eastAsia="Arial" w:hAnsi="Arial"/>
        </w:rPr>
        <w:t xml:space="preserve">3. Key Interview Findings</w:t>
      </w:r>
    </w:p>
    <w:p>
      <w:pPr>
        <w:pStyle w:val="Heading2"/>
      </w:pPr>
      <w:r>
        <w:rPr>
          <w:rFonts w:ascii="Arial" w:cs="Arial" w:eastAsia="Arial" w:hAnsi="Arial"/>
        </w:rPr>
        <w:t xml:space="preserve">3.1 Billing Errors Persist Because Averages Mask Them</w:t>
      </w:r>
    </w:p>
    <w:p>
      <w:pPr>
        <w:spacing w:after="100" w:before="0"/>
      </w:pPr>
      <w:r>
        <w:rPr>
          <w:rFonts w:ascii="Arial" w:cs="Arial" w:eastAsia="Arial" w:hAnsi="Arial"/>
          <w:sz w:val="22"/>
          <w:szCs w:val="22"/>
        </w:rPr>
        <w:t xml:space="preserve">One of the most important findings from this call is that Panda's current monitoring approach is fundamentally average-based, which means slow-burn errors can go undetected for extended periods.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single" w:color="F5C518" w:sz="12"/>
              <w:bottom w:val="none" w:color="FFFFFF" w:sz="0"/>
              <w:right w:val="none" w:color="FFFFFF" w:sz="0"/>
            </w:tcBorders>
            <w:shd w:fill="FFFFFF" w:val="clear"/>
            <w:tcMar>
              <w:top w:type="dxa" w:w="40"/>
              <w:left w:type="dxa" w:w="0"/>
              <w:bottom w:type="dxa" w:w="40"/>
              <w:right w:type="dxa" w:w="0"/>
            </w:tcMar>
          </w:tcPr>
          <w:p/>
        </w:tc>
        <w:tc>
          <w:tcPr>
            <w:tcW w:type="dxa" w:w="9120"/>
            <w:tcBorders>
              <w:top w:val="none" w:color="FFFFFF" w:sz="0"/>
              <w:left w:val="none" w:color="FFFFFF" w:sz="0"/>
              <w:bottom w:val="none" w:color="FFFFFF" w:sz="0"/>
              <w:right w:val="none" w:color="FFFFFF" w:sz="0"/>
            </w:tcBorders>
            <w:shd w:fill="FFFFFF" w:val="clear"/>
            <w:tcMar>
              <w:top w:type="dxa" w:w="40"/>
              <w:left w:type="dxa" w:w="120"/>
              <w:bottom w:type="dxa" w:w="40"/>
              <w:right w:type="dxa" w:w="120"/>
            </w:tcMar>
          </w:tcPr>
          <w:p>
            <w:pPr>
              <w:spacing w:after="0" w:before="0"/>
            </w:pPr>
            <w:r>
              <w:rPr>
                <w:rFonts w:ascii="Arial" w:cs="Arial" w:eastAsia="Arial" w:hAnsi="Arial"/>
                <w:i/>
                <w:iCs/>
                <w:color w:val="444444"/>
                <w:sz w:val="21"/>
                <w:szCs w:val="21"/>
              </w:rPr>
              <w:t xml:space="preserve">"It does happen. It can go on for a while and then accounting or operations will catch something like that. It's like, hey, how come I haven't had any electric charges on my P&amp;L for six months, or why were the last four months so expensive?"</w:t>
            </w:r>
          </w:p>
        </w:tc>
      </w:tr>
    </w:tbl>
    <w:p>
      <w:pPr>
        <w:spacing w:after="100" w:before="0"/>
      </w:pPr>
      <w:r>
        <w:rPr>
          <w:rFonts w:ascii="Arial" w:cs="Arial" w:eastAsia="Arial" w:hAnsi="Arial"/>
          <w:sz w:val="22"/>
          <w:szCs w:val="22"/>
        </w:rPr>
        <w:t xml:space="preserve">Roger's most vivid example: a single meter was discovered to be covering two outlets in a shared tenant space. For an entire year, Panda had been paying the neighbor's electricity. The error was not flagged by NG Insight's threshold system because the charges had been consistent enough to establish a new baseline.</w:t>
      </w:r>
    </w:p>
    <w:p>
      <w:pPr>
        <w:spacing w:after="120" w:before="80"/>
      </w:pPr>
      <w:r>
        <w:rPr>
          <w:rFonts w:ascii="Arial" w:cs="Arial" w:eastAsia="Arial" w:hAnsi="Arial"/>
          <w:b/>
          <w:bCs/>
          <w:sz w:val="22"/>
          <w:szCs w:val="22"/>
        </w:rPr>
        <w:t xml:space="preserve">Implication for Clear Current: </w:t>
      </w:r>
      <w:r>
        <w:rPr>
          <w:rFonts w:ascii="Arial" w:cs="Arial" w:eastAsia="Arial" w:hAnsi="Arial"/>
          <w:sz w:val="22"/>
          <w:szCs w:val="22"/>
        </w:rPr>
        <w:t xml:space="preserve">This is the clearest real-world validation of the 'baseline drift' problem in multi-site energy management. Threshold-based exception rules work for spikes. They don't catch gradual or systematic errors that blend into the average over time. Clear Current's anomaly detection should be framed not just as 'spike detection' but as 'pattern deviation detection.'</w:t>
      </w:r>
    </w:p>
    <w:p>
      <w:pPr>
        <w:pStyle w:val="Heading2"/>
      </w:pPr>
      <w:r>
        <w:rPr>
          <w:rFonts w:ascii="Arial" w:cs="Arial" w:eastAsia="Arial" w:hAnsi="Arial"/>
        </w:rPr>
        <w:t xml:space="preserve">3.2 Bill Management Is the Operational Foundation, Not an Afterthought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single" w:color="F5C518" w:sz="12"/>
              <w:bottom w:val="none" w:color="FFFFFF" w:sz="0"/>
              <w:right w:val="none" w:color="FFFFFF" w:sz="0"/>
            </w:tcBorders>
            <w:shd w:fill="FFFFFF" w:val="clear"/>
            <w:tcMar>
              <w:top w:type="dxa" w:w="40"/>
              <w:left w:type="dxa" w:w="0"/>
              <w:bottom w:type="dxa" w:w="40"/>
              <w:right w:type="dxa" w:w="0"/>
            </w:tcMar>
          </w:tcPr>
          <w:p/>
        </w:tc>
        <w:tc>
          <w:tcPr>
            <w:tcW w:type="dxa" w:w="9120"/>
            <w:tcBorders>
              <w:top w:val="none" w:color="FFFFFF" w:sz="0"/>
              <w:left w:val="none" w:color="FFFFFF" w:sz="0"/>
              <w:bottom w:val="none" w:color="FFFFFF" w:sz="0"/>
              <w:right w:val="none" w:color="FFFFFF" w:sz="0"/>
            </w:tcBorders>
            <w:shd w:fill="FFFFFF" w:val="clear"/>
            <w:tcMar>
              <w:top w:type="dxa" w:w="40"/>
              <w:left w:type="dxa" w:w="120"/>
              <w:bottom w:type="dxa" w:w="40"/>
              <w:right w:type="dxa" w:w="120"/>
            </w:tcMar>
          </w:tcPr>
          <w:p>
            <w:pPr>
              <w:spacing w:after="0" w:before="0"/>
            </w:pPr>
            <w:r>
              <w:rPr>
                <w:rFonts w:ascii="Arial" w:cs="Arial" w:eastAsia="Arial" w:hAnsi="Arial"/>
                <w:i/>
                <w:iCs/>
                <w:color w:val="444444"/>
                <w:sz w:val="21"/>
                <w:szCs w:val="21"/>
              </w:rPr>
              <w:t xml:space="preserve">"The most common cause of a shutoff or a disruption in service is a bill got overlooked and didn't get paid. And it's always a mistake. Somebody just missed it, lost it, bad address, keyed it in wrong to the system."</w:t>
            </w:r>
          </w:p>
        </w:tc>
      </w:tr>
    </w:tbl>
    <w:p>
      <w:pPr>
        <w:spacing w:after="100" w:before="0"/>
      </w:pPr>
      <w:r>
        <w:rPr>
          <w:rFonts w:ascii="Arial" w:cs="Arial" w:eastAsia="Arial" w:hAnsi="Arial"/>
          <w:sz w:val="22"/>
          <w:szCs w:val="22"/>
        </w:rPr>
        <w:t xml:space="preserve">He also described a second, less-discussed risk: planned utility outages. When a utility company schedules maintenance that would take out power mid-business day, Panda's energy team actively negotiates with the utility to reschedule to off-hours or off-days.</w:t>
      </w:r>
    </w:p>
    <w:p>
      <w:pPr>
        <w:spacing w:after="120" w:before="80"/>
      </w:pPr>
      <w:r>
        <w:rPr>
          <w:rFonts w:ascii="Arial" w:cs="Arial" w:eastAsia="Arial" w:hAnsi="Arial"/>
          <w:b/>
          <w:bCs/>
          <w:sz w:val="22"/>
          <w:szCs w:val="22"/>
        </w:rPr>
        <w:t xml:space="preserve">Implication for Clear Current: </w:t>
      </w:r>
      <w:r>
        <w:rPr>
          <w:rFonts w:ascii="Arial" w:cs="Arial" w:eastAsia="Arial" w:hAnsi="Arial"/>
          <w:sz w:val="22"/>
          <w:szCs w:val="22"/>
        </w:rPr>
        <w:t xml:space="preserve">The core value proposition of 'we pay the right bill on time' resonates immediately with a buyer like Roger. The error-catching layer is additive. The entry pitch for QSR buyers should lead with operational risk reduction (shutoffs, missed bills, wrong charges) before moving to optimization.</w:t>
      </w:r>
    </w:p>
    <w:p>
      <w:pPr>
        <w:pStyle w:val="Heading2"/>
      </w:pPr>
      <w:r>
        <w:rPr>
          <w:rFonts w:ascii="Arial" w:cs="Arial" w:eastAsia="Arial" w:hAnsi="Arial"/>
        </w:rPr>
        <w:t xml:space="preserve">3.3 Water Anomaly Detection Is Already Solved, But Electricity Isn't</w:t>
      </w:r>
    </w:p>
    <w:p>
      <w:pPr>
        <w:spacing w:after="100" w:before="0"/>
      </w:pPr>
      <w:r>
        <w:rPr>
          <w:rFonts w:ascii="Arial" w:cs="Arial" w:eastAsia="Arial" w:hAnsi="Arial"/>
          <w:sz w:val="22"/>
          <w:szCs w:val="22"/>
        </w:rPr>
        <w:t xml:space="preserve">Panda has deployed a product called H2NO by Conservation Labs across locations to monitor water usage in real time, 24 hours a day. The driver was a $32,000 water bill caused by an undetected underground irrigation leak. Real-time monitoring solved the problem. The electricity equivalent of this infrastructure does not exist in the same way.</w:t>
      </w:r>
    </w:p>
    <w:p>
      <w:pPr>
        <w:spacing w:after="120" w:before="80"/>
      </w:pPr>
      <w:r>
        <w:rPr>
          <w:rFonts w:ascii="Arial" w:cs="Arial" w:eastAsia="Arial" w:hAnsi="Arial"/>
          <w:b/>
          <w:bCs/>
          <w:sz w:val="22"/>
          <w:szCs w:val="22"/>
        </w:rPr>
        <w:t xml:space="preserve">Implication for Clear Current: </w:t>
      </w:r>
      <w:r>
        <w:rPr>
          <w:rFonts w:ascii="Arial" w:cs="Arial" w:eastAsia="Arial" w:hAnsi="Arial"/>
          <w:sz w:val="22"/>
          <w:szCs w:val="22"/>
        </w:rPr>
        <w:t xml:space="preserve">H2NO provides a mental model Roger already trusts: real-time monitoring that surfaces a problem before the bill arrives. Clear Current should be framed in the same terms for electricity and gas: 'What H2NO did for water, we do for your entire utility bill stack.'</w:t>
      </w:r>
    </w:p>
    <w:p>
      <w:pPr>
        <w:pStyle w:val="Heading2"/>
      </w:pPr>
      <w:r>
        <w:rPr>
          <w:rFonts w:ascii="Arial" w:cs="Arial" w:eastAsia="Arial" w:hAnsi="Arial"/>
        </w:rPr>
        <w:t xml:space="preserve">3.4 HVAC Aging is the Biggest Dollar Leak in Restaurants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single" w:color="F5C518" w:sz="12"/>
              <w:bottom w:val="none" w:color="FFFFFF" w:sz="0"/>
              <w:right w:val="none" w:color="FFFFFF" w:sz="0"/>
            </w:tcBorders>
            <w:shd w:fill="FFFFFF" w:val="clear"/>
            <w:tcMar>
              <w:top w:type="dxa" w:w="40"/>
              <w:left w:type="dxa" w:w="0"/>
              <w:bottom w:type="dxa" w:w="40"/>
              <w:right w:type="dxa" w:w="0"/>
            </w:tcMar>
          </w:tcPr>
          <w:p/>
        </w:tc>
        <w:tc>
          <w:tcPr>
            <w:tcW w:type="dxa" w:w="9120"/>
            <w:tcBorders>
              <w:top w:val="none" w:color="FFFFFF" w:sz="0"/>
              <w:left w:val="none" w:color="FFFFFF" w:sz="0"/>
              <w:bottom w:val="none" w:color="FFFFFF" w:sz="0"/>
              <w:right w:val="none" w:color="FFFFFF" w:sz="0"/>
            </w:tcBorders>
            <w:shd w:fill="FFFFFF" w:val="clear"/>
            <w:tcMar>
              <w:top w:type="dxa" w:w="40"/>
              <w:left w:type="dxa" w:w="120"/>
              <w:bottom w:type="dxa" w:w="40"/>
              <w:right w:type="dxa" w:w="120"/>
            </w:tcMar>
          </w:tcPr>
          <w:p>
            <w:pPr>
              <w:spacing w:after="0" w:before="0"/>
            </w:pPr>
            <w:r>
              <w:rPr>
                <w:rFonts w:ascii="Arial" w:cs="Arial" w:eastAsia="Arial" w:hAnsi="Arial"/>
                <w:i/>
                <w:iCs/>
                <w:color w:val="444444"/>
                <w:sz w:val="21"/>
                <w:szCs w:val="21"/>
              </w:rPr>
              <w:t xml:space="preserve">"You can have an air conditioner that has a mechanical issue and it's failing, barely producing any cold air, but it's not noticed for many days or weeks. You're just pouring all that electricity into that unit and not getting any real value from it."</w:t>
            </w:r>
          </w:p>
        </w:tc>
      </w:tr>
    </w:tbl>
    <w:p>
      <w:pPr>
        <w:spacing w:after="120" w:before="80"/>
      </w:pPr>
      <w:r>
        <w:rPr>
          <w:rFonts w:ascii="Arial" w:cs="Arial" w:eastAsia="Arial" w:hAnsi="Arial"/>
          <w:b/>
          <w:bCs/>
          <w:sz w:val="22"/>
          <w:szCs w:val="22"/>
        </w:rPr>
        <w:t xml:space="preserve">Implication for Clear Current: </w:t>
      </w:r>
      <w:r>
        <w:rPr>
          <w:rFonts w:ascii="Arial" w:cs="Arial" w:eastAsia="Arial" w:hAnsi="Arial"/>
          <w:sz w:val="22"/>
          <w:szCs w:val="22"/>
        </w:rPr>
        <w:t xml:space="preserve">HVAC degradation creates a billing signal: electricity usage climbs gradually at a specific location even when headcount, hours, and weather are controlled for. A billing intelligence tool that flags this pattern location by location could help energy managers dispatch maintenance before the unit fails completely.</w:t>
      </w:r>
    </w:p>
    <w:p>
      <w:pPr>
        <w:pStyle w:val="Heading2"/>
      </w:pPr>
      <w:r>
        <w:rPr>
          <w:rFonts w:ascii="Arial" w:cs="Arial" w:eastAsia="Arial" w:hAnsi="Arial"/>
        </w:rPr>
        <w:t xml:space="preserve">3.5 Energy Calendar: Electricity Peaks Summer, Gas is Flat</w:t>
      </w:r>
    </w:p>
    <w:p>
      <w:pPr>
        <w:spacing w:after="100" w:before="0"/>
      </w:pPr>
      <w:r>
        <w:rPr>
          <w:rFonts w:ascii="Arial" w:cs="Arial" w:eastAsia="Arial" w:hAnsi="Arial"/>
          <w:sz w:val="22"/>
          <w:szCs w:val="22"/>
        </w:rPr>
        <w:t xml:space="preserve">Roger confirmed the restaurant industry energy calendar is straightforward. Electricity peaks from June through September, driven almost entirely by air conditioning load. Gas is used primarily for cooking and remains relatively stable year-round, with a modest winter uptick. There is no complex demand management calendar equivalent to what higher education institutions manage.</w:t>
      </w:r>
    </w:p>
    <w:p>
      <w:pPr>
        <w:spacing w:after="120" w:before="80"/>
      </w:pPr>
      <w:r>
        <w:rPr>
          <w:rFonts w:ascii="Arial" w:cs="Arial" w:eastAsia="Arial" w:hAnsi="Arial"/>
          <w:b/>
          <w:bCs/>
          <w:sz w:val="22"/>
          <w:szCs w:val="22"/>
        </w:rPr>
        <w:t xml:space="preserve">Implication for Clear Current: </w:t>
      </w:r>
      <w:r>
        <w:rPr>
          <w:rFonts w:ascii="Arial" w:cs="Arial" w:eastAsia="Arial" w:hAnsi="Arial"/>
          <w:sz w:val="22"/>
          <w:szCs w:val="22"/>
        </w:rPr>
        <w:t xml:space="preserve">Summer = maximum electricity exposure for QSR operators. This is the window when rate optimization, demand charge monitoring, and anomaly detection generate the most dollar value. Product positioning for the QSR vertical should align feature demos with peak exposure periods.</w:t>
      </w:r>
    </w:p>
    <w:p>
      <w:pPr>
        <w:pStyle w:val="Heading1"/>
      </w:pPr>
      <w:r>
        <w:rPr>
          <w:rFonts w:ascii="Arial" w:cs="Arial" w:eastAsia="Arial" w:hAnsi="Arial"/>
        </w:rPr>
        <w:t xml:space="preserve">4. How Roger Would Use an AI Energy Management Tool</w:t>
      </w:r>
    </w:p>
    <w:p>
      <w:pPr>
        <w:pStyle w:val="ListParagraph"/>
        <w:numPr>
          <w:ilvl w:val="0"/>
          <w:numId w:val="2"/>
        </w:numPr>
        <w:spacing w:after="40" w:before="40"/>
      </w:pPr>
      <w:r>
        <w:rPr>
          <w:rFonts w:ascii="Arial" w:cs="Arial" w:eastAsia="Arial" w:hAnsi="Arial"/>
          <w:b/>
          <w:bCs/>
          <w:sz w:val="22"/>
          <w:szCs w:val="22"/>
        </w:rPr>
        <w:t xml:space="preserve">Exception upgrading: </w:t>
      </w:r>
      <w:r>
        <w:rPr>
          <w:rFonts w:ascii="Arial" w:cs="Arial" w:eastAsia="Arial" w:hAnsi="Arial"/>
          <w:sz w:val="22"/>
          <w:szCs w:val="22"/>
        </w:rPr>
        <w:t xml:space="preserve">Moving beyond threshold-based flags to AI-detected pattern deviations that a static average would miss</w:t>
      </w:r>
    </w:p>
    <w:p>
      <w:pPr>
        <w:pStyle w:val="ListParagraph"/>
        <w:numPr>
          <w:ilvl w:val="0"/>
          <w:numId w:val="2"/>
        </w:numPr>
        <w:spacing w:after="40" w:before="40"/>
      </w:pPr>
      <w:r>
        <w:rPr>
          <w:rFonts w:ascii="Arial" w:cs="Arial" w:eastAsia="Arial" w:hAnsi="Arial"/>
          <w:b/>
          <w:bCs/>
          <w:sz w:val="22"/>
          <w:szCs w:val="22"/>
        </w:rPr>
        <w:t xml:space="preserve">Baseline drift detection: </w:t>
      </w:r>
      <w:r>
        <w:rPr>
          <w:rFonts w:ascii="Arial" w:cs="Arial" w:eastAsia="Arial" w:hAnsi="Arial"/>
          <w:sz w:val="22"/>
          <w:szCs w:val="22"/>
        </w:rPr>
        <w:t xml:space="preserve">Identifying locations where the 'normal' has shifted upward due to an undetected error or equipment issue</w:t>
      </w:r>
    </w:p>
    <w:p>
      <w:pPr>
        <w:pStyle w:val="ListParagraph"/>
        <w:numPr>
          <w:ilvl w:val="0"/>
          <w:numId w:val="2"/>
        </w:numPr>
        <w:spacing w:after="40" w:before="40"/>
      </w:pPr>
      <w:r>
        <w:rPr>
          <w:rFonts w:ascii="Arial" w:cs="Arial" w:eastAsia="Arial" w:hAnsi="Arial"/>
          <w:b/>
          <w:bCs/>
          <w:sz w:val="22"/>
          <w:szCs w:val="22"/>
        </w:rPr>
        <w:t xml:space="preserve">Location-level HVAC fingerprinting: </w:t>
      </w:r>
      <w:r>
        <w:rPr>
          <w:rFonts w:ascii="Arial" w:cs="Arial" w:eastAsia="Arial" w:hAnsi="Arial"/>
          <w:sz w:val="22"/>
          <w:szCs w:val="22"/>
        </w:rPr>
        <w:t xml:space="preserve">Flagging stores where electricity usage climbs beyond weather-normalized expectations, suggesting aging or failing HVAC</w:t>
      </w:r>
    </w:p>
    <w:p>
      <w:pPr>
        <w:pStyle w:val="ListParagraph"/>
        <w:numPr>
          <w:ilvl w:val="0"/>
          <w:numId w:val="2"/>
        </w:numPr>
        <w:spacing w:after="40" w:before="40"/>
      </w:pPr>
      <w:r>
        <w:rPr>
          <w:rFonts w:ascii="Arial" w:cs="Arial" w:eastAsia="Arial" w:hAnsi="Arial"/>
          <w:b/>
          <w:bCs/>
          <w:sz w:val="22"/>
          <w:szCs w:val="22"/>
        </w:rPr>
        <w:t xml:space="preserve">Multi-utility correlation: </w:t>
      </w:r>
      <w:r>
        <w:rPr>
          <w:rFonts w:ascii="Arial" w:cs="Arial" w:eastAsia="Arial" w:hAnsi="Arial"/>
          <w:sz w:val="22"/>
          <w:szCs w:val="22"/>
        </w:rPr>
        <w:t xml:space="preserve">Connecting water anomalies (already monitored by H2NO) with electricity and gas anomalies for a unified picture</w:t>
      </w:r>
    </w:p>
    <w:p>
      <w:pPr>
        <w:pStyle w:val="ListParagraph"/>
        <w:numPr>
          <w:ilvl w:val="0"/>
          <w:numId w:val="2"/>
        </w:numPr>
        <w:spacing w:after="40" w:before="40"/>
      </w:pPr>
      <w:r>
        <w:rPr>
          <w:rFonts w:ascii="Arial" w:cs="Arial" w:eastAsia="Arial" w:hAnsi="Arial"/>
          <w:b/>
          <w:bCs/>
          <w:sz w:val="22"/>
          <w:szCs w:val="22"/>
        </w:rPr>
        <w:t xml:space="preserve">Savings documentation: </w:t>
      </w:r>
      <w:r>
        <w:rPr>
          <w:rFonts w:ascii="Arial" w:cs="Arial" w:eastAsia="Arial" w:hAnsi="Arial"/>
          <w:sz w:val="22"/>
          <w:szCs w:val="22"/>
        </w:rPr>
        <w:t xml:space="preserve">Producing clear dollar-impact reports that justify the tool's cost to finance leadership</w:t>
      </w:r>
    </w:p>
    <w:p>
      <w:pPr>
        <w:pStyle w:val="Heading1"/>
      </w:pPr>
      <w:r>
        <w:rPr>
          <w:rFonts w:ascii="Arial" w:cs="Arial" w:eastAsia="Arial" w:hAnsi="Arial"/>
        </w:rPr>
        <w:t xml:space="preserve">5. Key Takeaways for the QSR Vertical</w:t>
      </w:r>
    </w:p>
    <w:p>
      <w:pPr>
        <w:pStyle w:val="ListParagraph"/>
        <w:numPr>
          <w:ilvl w:val="0"/>
          <w:numId w:val="2"/>
        </w:numPr>
        <w:spacing w:after="40" w:before="40"/>
      </w:pPr>
      <w:r>
        <w:rPr>
          <w:rFonts w:ascii="Arial" w:cs="Arial" w:eastAsia="Arial" w:hAnsi="Arial"/>
          <w:sz w:val="22"/>
          <w:szCs w:val="22"/>
        </w:rPr>
        <w:t xml:space="preserve">At 2,600 locations and ~10,000 bills/month, manual bill review is not feasible. The entire operation runs through a third-party processor (NG Insight) with threshold-based exception rules.</w:t>
      </w:r>
    </w:p>
    <w:p>
      <w:pPr>
        <w:pStyle w:val="ListParagraph"/>
        <w:numPr>
          <w:ilvl w:val="0"/>
          <w:numId w:val="2"/>
        </w:numPr>
        <w:spacing w:after="40" w:before="40"/>
      </w:pPr>
      <w:r>
        <w:rPr>
          <w:rFonts w:ascii="Arial" w:cs="Arial" w:eastAsia="Arial" w:hAnsi="Arial"/>
          <w:sz w:val="22"/>
          <w:szCs w:val="22"/>
        </w:rPr>
        <w:t xml:space="preserve">The threshold system catches spikes but misses baseline drift - the gradual accumulation of systematic errors. This is Clear Current's primary competitive opening.</w:t>
      </w:r>
    </w:p>
    <w:p>
      <w:pPr>
        <w:pStyle w:val="ListParagraph"/>
        <w:numPr>
          <w:ilvl w:val="0"/>
          <w:numId w:val="2"/>
        </w:numPr>
        <w:spacing w:after="40" w:before="40"/>
      </w:pPr>
      <w:r>
        <w:rPr>
          <w:rFonts w:ascii="Arial" w:cs="Arial" w:eastAsia="Arial" w:hAnsi="Arial"/>
          <w:sz w:val="22"/>
          <w:szCs w:val="22"/>
        </w:rPr>
        <w:t xml:space="preserve">The H2NO water monitoring product is the mental model to borrow. Roger already trusts the concept of real-time anomaly detection. Clear Current needs to be that for electricity and gas.</w:t>
      </w:r>
    </w:p>
    <w:p>
      <w:pPr>
        <w:pStyle w:val="ListParagraph"/>
        <w:numPr>
          <w:ilvl w:val="0"/>
          <w:numId w:val="2"/>
        </w:numPr>
        <w:spacing w:after="40" w:before="40"/>
      </w:pPr>
      <w:r>
        <w:rPr>
          <w:rFonts w:ascii="Arial" w:cs="Arial" w:eastAsia="Arial" w:hAnsi="Arial"/>
          <w:sz w:val="22"/>
          <w:szCs w:val="22"/>
        </w:rPr>
        <w:t xml:space="preserve">HVAC aging is the #1 dollar leak at the location level. If Clear Current can correlate billing anomalies with likely HVAC degradation, that is a concrete, actionable alert for facilities teams.</w:t>
      </w:r>
    </w:p>
    <w:p>
      <w:pPr>
        <w:pStyle w:val="ListParagraph"/>
        <w:numPr>
          <w:ilvl w:val="0"/>
          <w:numId w:val="2"/>
        </w:numPr>
        <w:spacing w:after="40" w:before="40"/>
      </w:pPr>
      <w:r>
        <w:rPr>
          <w:rFonts w:ascii="Arial" w:cs="Arial" w:eastAsia="Arial" w:hAnsi="Arial"/>
          <w:sz w:val="22"/>
          <w:szCs w:val="22"/>
        </w:rPr>
        <w:t xml:space="preserve">NG Insight is a potential channel partner. Roger offered to connect the team with his account lead. Multiple interviewees have now named NG Insight as a relevant player.</w:t>
      </w:r>
    </w:p>
    <w:p>
      <w:pPr>
        <w:pStyle w:val="Heading1"/>
      </w:pPr>
      <w:r>
        <w:rPr>
          <w:rFonts w:ascii="Arial" w:cs="Arial" w:eastAsia="Arial" w:hAnsi="Arial"/>
        </w:rPr>
        <w:t xml:space="preserve">6. Strategic Recommendations for Dan &amp; John</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1628" w:sz="4"/>
              <w:left w:val="single" w:color="0A1628" w:sz="4"/>
              <w:bottom w:val="single" w:color="0A1628" w:sz="4"/>
              <w:right w:val="single" w:color="0A1628" w:sz="4"/>
            </w:tcBorders>
            <w:shd w:fill="EBF0F8" w:val="clear"/>
            <w:tcMar>
              <w:top w:type="dxa" w:w="120"/>
              <w:left w:type="dxa" w:w="160"/>
              <w:bottom w:type="dxa" w:w="120"/>
              <w:right w:type="dxa" w:w="160"/>
            </w:tcMar>
          </w:tcPr>
          <w:p>
            <w:pPr>
              <w:spacing w:after="40" w:before="0"/>
            </w:pPr>
            <w:r>
              <w:rPr>
                <w:rFonts w:ascii="Arial" w:cs="Arial" w:eastAsia="Arial" w:hAnsi="Arial"/>
                <w:b/>
                <w:bCs/>
                <w:color w:val="0A1628"/>
                <w:sz w:val="21"/>
                <w:szCs w:val="21"/>
              </w:rPr>
              <w:t xml:space="preserve">Recommendation 1: Frame the Value Proposition Around 'Pattern Deviation,' Not Just 'Spike Detection'</w:t>
            </w:r>
          </w:p>
          <w:p>
            <w:pPr>
              <w:spacing w:after="0" w:before="0"/>
            </w:pPr>
            <w:r>
              <w:rPr>
                <w:rFonts w:ascii="Arial" w:cs="Arial" w:eastAsia="Arial" w:hAnsi="Arial"/>
                <w:sz w:val="21"/>
                <w:szCs w:val="21"/>
              </w:rPr>
              <w:t xml:space="preserve">Roger's billing error stories all share a common thread: the problem blended into the baseline before being caught. Clear Current's AI layer should be explicitly positioned as catching what threshold rules can't - systematic drift, gradual creep, and errors that become the new normal before anyone notices.</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1628" w:sz="4"/>
              <w:left w:val="single" w:color="0A1628" w:sz="4"/>
              <w:bottom w:val="single" w:color="0A1628" w:sz="4"/>
              <w:right w:val="single" w:color="0A1628" w:sz="4"/>
            </w:tcBorders>
            <w:shd w:fill="EBF0F8" w:val="clear"/>
            <w:tcMar>
              <w:top w:type="dxa" w:w="120"/>
              <w:left w:type="dxa" w:w="160"/>
              <w:bottom w:type="dxa" w:w="120"/>
              <w:right w:type="dxa" w:w="160"/>
            </w:tcMar>
          </w:tcPr>
          <w:p>
            <w:pPr>
              <w:spacing w:after="40" w:before="0"/>
            </w:pPr>
            <w:r>
              <w:rPr>
                <w:rFonts w:ascii="Arial" w:cs="Arial" w:eastAsia="Arial" w:hAnsi="Arial"/>
                <w:b/>
                <w:bCs/>
                <w:color w:val="0A1628"/>
                <w:sz w:val="21"/>
                <w:szCs w:val="21"/>
              </w:rPr>
              <w:t xml:space="preserve">Recommendation 2: Lead QSR Pitches with Operational Risk, Then Optimization</w:t>
            </w:r>
          </w:p>
          <w:p>
            <w:pPr>
              <w:spacing w:after="0" w:before="0"/>
            </w:pPr>
            <w:r>
              <w:rPr>
                <w:rFonts w:ascii="Arial" w:cs="Arial" w:eastAsia="Arial" w:hAnsi="Arial"/>
                <w:sz w:val="21"/>
                <w:szCs w:val="21"/>
              </w:rPr>
              <w:t xml:space="preserve">Roger's most visceral concern is utility shutoffs and missed bills - not rate optimization. The entry pitch should establish that Clear Current prevents the operational nightmare of a shutoff, then layer in the savings opportunity. Get the risk conversation first; the ROI conversation follows naturally.</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1628" w:sz="4"/>
              <w:left w:val="single" w:color="0A1628" w:sz="4"/>
              <w:bottom w:val="single" w:color="0A1628" w:sz="4"/>
              <w:right w:val="single" w:color="0A1628" w:sz="4"/>
            </w:tcBorders>
            <w:shd w:fill="EBF0F8" w:val="clear"/>
            <w:tcMar>
              <w:top w:type="dxa" w:w="120"/>
              <w:left w:type="dxa" w:w="160"/>
              <w:bottom w:type="dxa" w:w="120"/>
              <w:right w:type="dxa" w:w="160"/>
            </w:tcMar>
          </w:tcPr>
          <w:p>
            <w:pPr>
              <w:spacing w:after="40" w:before="0"/>
            </w:pPr>
            <w:r>
              <w:rPr>
                <w:rFonts w:ascii="Arial" w:cs="Arial" w:eastAsia="Arial" w:hAnsi="Arial"/>
                <w:b/>
                <w:bCs/>
                <w:color w:val="0A1628"/>
                <w:sz w:val="21"/>
                <w:szCs w:val="21"/>
              </w:rPr>
              <w:t xml:space="preserve">Recommendation 3: Borrow the H2NO Mental Model in QSR Sales Materials</w:t>
            </w:r>
          </w:p>
          <w:p>
            <w:pPr>
              <w:spacing w:after="0" w:before="0"/>
            </w:pPr>
            <w:r>
              <w:rPr>
                <w:rFonts w:ascii="Arial" w:cs="Arial" w:eastAsia="Arial" w:hAnsi="Arial"/>
                <w:sz w:val="21"/>
                <w:szCs w:val="21"/>
              </w:rPr>
              <w:t xml:space="preserve">Roger already trusts and values real-time anomaly detection for water because H2NO proved the concept. Clear Current should explicitly reference this model in conversations with QSR buyers: 'What H2NO did for your water, we do for your entire utility stack.' This shortcuts the 'prove it works' skepticism.</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1628" w:sz="4"/>
              <w:left w:val="single" w:color="0A1628" w:sz="4"/>
              <w:bottom w:val="single" w:color="0A1628" w:sz="4"/>
              <w:right w:val="single" w:color="0A1628" w:sz="4"/>
            </w:tcBorders>
            <w:shd w:fill="EBF0F8" w:val="clear"/>
            <w:tcMar>
              <w:top w:type="dxa" w:w="120"/>
              <w:left w:type="dxa" w:w="160"/>
              <w:bottom w:type="dxa" w:w="120"/>
              <w:right w:type="dxa" w:w="160"/>
            </w:tcMar>
          </w:tcPr>
          <w:p>
            <w:pPr>
              <w:spacing w:after="40" w:before="0"/>
            </w:pPr>
            <w:r>
              <w:rPr>
                <w:rFonts w:ascii="Arial" w:cs="Arial" w:eastAsia="Arial" w:hAnsi="Arial"/>
                <w:b/>
                <w:bCs/>
                <w:color w:val="0A1628"/>
                <w:sz w:val="21"/>
                <w:szCs w:val="21"/>
              </w:rPr>
              <w:t xml:space="preserve">Recommendation 4: Pursue the NG Insight Channel Introduction</w:t>
            </w:r>
          </w:p>
          <w:p>
            <w:pPr>
              <w:spacing w:after="0" w:before="0"/>
            </w:pPr>
            <w:r>
              <w:rPr>
                <w:rFonts w:ascii="Arial" w:cs="Arial" w:eastAsia="Arial" w:hAnsi="Arial"/>
                <w:sz w:val="21"/>
                <w:szCs w:val="21"/>
              </w:rPr>
              <w:t xml:space="preserve">Roger offered to connect the team with his NG Insight account lead. NG Insight processes bills for a significant portion of the QSR and multi-site retail market. If Clear Current's AI layer can be offered as an enhancement to NG Insight's exception monitoring, that is a channel partnership that provides access to NG Insight's entire customer base.</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1628" w:sz="4"/>
              <w:left w:val="single" w:color="0A1628" w:sz="4"/>
              <w:bottom w:val="single" w:color="0A1628" w:sz="4"/>
              <w:right w:val="single" w:color="0A1628" w:sz="4"/>
            </w:tcBorders>
            <w:shd w:fill="EBF0F8" w:val="clear"/>
            <w:tcMar>
              <w:top w:type="dxa" w:w="120"/>
              <w:left w:type="dxa" w:w="160"/>
              <w:bottom w:type="dxa" w:w="120"/>
              <w:right w:type="dxa" w:w="160"/>
            </w:tcMar>
          </w:tcPr>
          <w:p>
            <w:pPr>
              <w:spacing w:after="40" w:before="0"/>
            </w:pPr>
            <w:r>
              <w:rPr>
                <w:rFonts w:ascii="Arial" w:cs="Arial" w:eastAsia="Arial" w:hAnsi="Arial"/>
                <w:b/>
                <w:bCs/>
                <w:color w:val="0A1628"/>
                <w:sz w:val="21"/>
                <w:szCs w:val="21"/>
              </w:rPr>
              <w:t xml:space="preserve">Recommendation 5: Build an HVAC Degradation Alert into the Product Roadmap</w:t>
            </w:r>
          </w:p>
          <w:p>
            <w:pPr>
              <w:spacing w:after="0" w:before="0"/>
            </w:pPr>
            <w:r>
              <w:rPr>
                <w:rFonts w:ascii="Arial" w:cs="Arial" w:eastAsia="Arial" w:hAnsi="Arial"/>
                <w:sz w:val="21"/>
                <w:szCs w:val="21"/>
              </w:rPr>
              <w:t xml:space="preserve">HVAC is the #1 electricity consumer in restaurants. Degradation is gradual, invisible, and expensive. If Clear Current can flag location-level electricity usage creep that correlates with likely HVAC degradation - especially in summer months - that is a high-value, differentiated alert that facility managers and energy executives would act on immediately.</w:t>
            </w:r>
          </w:p>
        </w:tc>
      </w:tr>
    </w:tbl>
    <w:p>
      <w:pPr>
        <w:spacing w:after="160" w:before="0"/>
      </w:pPr>
    </w:p>
    <w:p>
      <w:pPr>
        <w:pBdr>
          <w:top w:val="single" w:color="F5C518" w:sz="4"/>
        </w:pBdr>
        <w:spacing w:after="0" w:before="200"/>
      </w:pPr>
    </w:p>
    <w:p>
      <w:pPr>
        <w:spacing w:after="20" w:before="80"/>
      </w:pPr>
      <w:r>
        <w:rPr>
          <w:rFonts w:ascii="Arial" w:cs="Arial" w:eastAsia="Arial" w:hAnsi="Arial"/>
          <w:b/>
          <w:bCs/>
          <w:color w:val="0A1628"/>
          <w:sz w:val="20"/>
          <w:szCs w:val="20"/>
        </w:rPr>
        <w:t xml:space="preserve">Prepared by Clayton Hester  |  CDL MBA Consulting Team</w:t>
      </w:r>
    </w:p>
    <w:p>
      <w:pPr>
        <w:spacing w:after="20" w:before="0"/>
      </w:pPr>
      <w:r>
        <w:rPr>
          <w:rFonts w:ascii="Arial" w:cs="Arial" w:eastAsia="Arial" w:hAnsi="Arial"/>
          <w:color w:val="444444"/>
          <w:sz w:val="20"/>
          <w:szCs w:val="20"/>
        </w:rPr>
        <w:t xml:space="preserve">Team: Clayton Hester, Adam Case, Jason Wisnieski, Victor Pan</w:t>
      </w:r>
    </w:p>
    <w:p>
      <w:pPr>
        <w:spacing w:after="0" w:before="0"/>
      </w:pPr>
      <w:r>
        <w:rPr>
          <w:rFonts w:ascii="Arial" w:cs="Arial" w:eastAsia="Arial" w:hAnsi="Arial"/>
          <w:color w:val="444444"/>
          <w:sz w:val="20"/>
          <w:szCs w:val="20"/>
        </w:rPr>
        <w:t xml:space="preserve">Clear Current Technologies  |  Dan Schreiber (CPO) &amp; John Reuter (CEO)</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0A1628"/>
      <w:sz w:val="32"/>
      <w:szCs w:val="32"/>
    </w:rPr>
  </w:style>
  <w:style w:type="paragraph" w:styleId="Heading2">
    <w:name w:val="Heading 2"/>
    <w:basedOn w:val="Normal"/>
    <w:next w:val="Normal"/>
    <w:qFormat/>
    <w:pPr>
      <w:spacing w:after="80" w:before="200"/>
      <w:outlineLvl w:val="1"/>
    </w:pPr>
    <w:rPr>
      <w:rFonts w:ascii="Arial" w:cs="Arial" w:eastAsia="Arial" w:hAnsi="Arial"/>
      <w:b/>
      <w:bCs/>
      <w:color w:val="0A1628"/>
      <w:sz w:val="24"/>
      <w:szCs w:val="24"/>
    </w:rPr>
  </w:style>
  <w:style w:type="paragraph" w:styleId="Heading3">
    <w:name w:val="Heading 3"/>
    <w:basedOn w:val="Normal"/>
    <w:next w:val="Normal"/>
    <w:qFormat/>
    <w:pPr>
      <w:spacing w:after="60" w:before="16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2026-04-09T21:13:24.273Z</dcterms:created>
  <dcterms:modified xsi:type="dcterms:W3CDTF">2026-04-09T21:13:24.273Z</dcterms:modified>
</cp:coreProperties>
</file>

<file path=docProps/custom.xml><?xml version="1.0" encoding="utf-8"?>
<Properties xmlns="http://schemas.openxmlformats.org/officeDocument/2006/custom-properties" xmlns:vt="http://schemas.openxmlformats.org/officeDocument/2006/docPropsVTypes"/>
</file>