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Scott Czubkowski, PE, CHC, CEM | Medxcel (Ascension Health)</w:t>
      </w:r>
    </w:p>
    <w:p>
      <w:pPr>
        <w:spacing w:after="20" w:before="0"/>
        <w:jc w:val="center"/>
      </w:pPr>
      <w:r>
        <w:rPr>
          <w:rFonts w:ascii="Arial" w:cs="Arial" w:eastAsia="Arial" w:hAnsi="Arial"/>
          <w:color w:val="444444"/>
          <w:sz w:val="22"/>
          <w:szCs w:val="22"/>
        </w:rPr>
        <w:t xml:space="preserve">National Director, Energy &amp; Facility Performance</w:t>
      </w:r>
    </w:p>
    <w:p>
      <w:pPr>
        <w:spacing w:after="200" w:before="0"/>
        <w:jc w:val="center"/>
      </w:pPr>
      <w:r>
        <w:rPr>
          <w:rFonts w:ascii="Arial" w:cs="Arial" w:eastAsia="Arial" w:hAnsi="Arial"/>
          <w:i/>
          <w:iCs/>
          <w:color w:val="777777"/>
          <w:sz w:val="20"/>
          <w:szCs w:val="20"/>
        </w:rPr>
        <w:t xml:space="preserve">Conducted by Clayton Hester  |  April 14,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Scott Czubkowski is the National Director of Energy &amp; Facility Performance at Medxcel, the facilities management subsidiary of Ascension Health. He held the equivalent energy management role directly at Ascension for five and a half years before energy functions were reorganized into a new internal resource group in December 2025. He is one of the most credentialed energy managers in the healthcare industry — PE, CHC, CEM, licensed contractor in Florida, adjunct professor, conference speaker — and brings a career spanning nuclear submarine engineering, Siemens business development across the U.S., Canada, and Switzerland, and over a decade of healthcare energy program leadership. His current oversight covers roughly 100 hospitals and 2,500 care sites with a $265 million annual utility spend. He is the clearest institutional voice in this research program on what works, what doesn't, and what the next generation of energy AI platforms needs to do to earn trust at this scale.</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Scott Czubkowski</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National Director, Energy &amp; Facility Performance</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Medxcel (Ascension Health's facilities management subsidiary)</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South Florida (traveling to Jacksonville at time of interview)</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Credentials</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PE (Professional Engineer), CHC (Certified Healthcare Constructor), CEM (Certified Energy Manager), CDSM, BEP, CIAQP; licensed as general contractor, solar contractor, and mechanical contractor in Florida</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Education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BS Mechanical Engineering, Milwaukee School of Engineering; MPM (Master of Project Management), Keller Graduate School of Management; International Business continuing education, Vlerick Leuven Gent Management School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Career</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Nuclear submarine test engineer (Newport News Shipbuilding, 1990-1994) | Siemens USA, Siemens Switzerland, Siemens Canada (1994-2009) | Mechanical HVAC DB (2009-2017) | McKim &amp; Creed (2017-2019) | Medxcel (2019-present)</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Scale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~100 hospitals, 2,500+ care sites; ~$265M annual utility spend; ~1.9 TWh annual energy management</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Prior Role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National Energy Manager for all of Ascension (2019-Nov/Dec 2025); energy moved to new 'Resource Group' structure</w:t>
            </w:r>
          </w:p>
        </w:tc>
      </w:tr>
    </w:tbl>
    <w:p>
      <w:pPr>
        <w:spacing w:after="80" w:before="0"/>
      </w:pPr>
    </w:p>
    <w:p>
      <w:pPr>
        <w:spacing w:after="100" w:before="0"/>
      </w:pPr>
      <w:r>
        <w:rPr>
          <w:rFonts w:ascii="Arial" w:cs="Arial" w:eastAsia="Arial" w:hAnsi="Arial"/>
          <w:sz w:val="22"/>
          <w:szCs w:val="22"/>
        </w:rPr>
        <w:t xml:space="preserve">Scott built his career at the intersection of engineering, business development, and energy systems — starting with nuclear propulsion plant testing on 688-class fast attack submarines, then building automation and energy services at Siemens across three continents, then healthcare facility performance. His multi-decade experience means he has seen technology cycles come and go in the energy management space, which makes his skepticism about AI labeling and his enthusiasm for specific capabilities equally well-grounded.</w:t>
      </w:r>
    </w:p>
    <w:p>
      <w:pPr>
        <w:pStyle w:val="Heading1"/>
      </w:pPr>
      <w:r>
        <w:rPr>
          <w:rFonts w:ascii="Arial" w:cs="Arial" w:eastAsia="Arial" w:hAnsi="Arial"/>
        </w:rPr>
        <w:t xml:space="preserve">2. Ascension / Medxcel — Energy Operations Overview</w:t>
      </w:r>
    </w:p>
    <w:p>
      <w:pPr>
        <w:pStyle w:val="Heading2"/>
      </w:pPr>
      <w:r>
        <w:rPr>
          <w:rFonts w:ascii="Arial" w:cs="Arial" w:eastAsia="Arial" w:hAnsi="Arial"/>
        </w:rPr>
        <w:t xml:space="preserve">2.1 Organizational Structure of the Former Energy Team</w:t>
      </w:r>
    </w:p>
    <w:p>
      <w:pPr>
        <w:spacing w:after="100" w:before="0"/>
      </w:pPr>
      <w:r>
        <w:rPr>
          <w:rFonts w:ascii="Arial" w:cs="Arial" w:eastAsia="Arial" w:hAnsi="Arial"/>
          <w:sz w:val="22"/>
          <w:szCs w:val="22"/>
        </w:rPr>
        <w:t xml:space="preserve">Scott described the team he built and ran for five and a half years as structured around three specialized groups:</w:t>
      </w:r>
    </w:p>
    <w:p>
      <w:pPr>
        <w:pStyle w:val="ListParagraph"/>
        <w:numPr>
          <w:ilvl w:val="0"/>
          <w:numId w:val="2"/>
        </w:numPr>
        <w:spacing w:after="40" w:before="40"/>
      </w:pPr>
      <w:r>
        <w:rPr>
          <w:rFonts w:ascii="Arial" w:cs="Arial" w:eastAsia="Arial" w:hAnsi="Arial"/>
          <w:b/>
          <w:bCs/>
          <w:sz w:val="22"/>
          <w:szCs w:val="22"/>
        </w:rPr>
        <w:t xml:space="preserve">Supply Side Team (4 people): </w:t>
      </w:r>
      <w:r>
        <w:rPr>
          <w:rFonts w:ascii="Arial" w:cs="Arial" w:eastAsia="Arial" w:hAnsi="Arial"/>
          <w:sz w:val="22"/>
          <w:szCs w:val="22"/>
        </w:rPr>
        <w:t xml:space="preserve">Everything upstream of the meter — utility bill management, tariffs, solar feasibility, microgrids, natural gas procurement. Responsible for $265M annual utility spend and hedging strategy.</w:t>
      </w:r>
    </w:p>
    <w:p>
      <w:pPr>
        <w:pStyle w:val="ListParagraph"/>
        <w:numPr>
          <w:ilvl w:val="0"/>
          <w:numId w:val="2"/>
        </w:numPr>
        <w:spacing w:after="40" w:before="40"/>
      </w:pPr>
      <w:r>
        <w:rPr>
          <w:rFonts w:ascii="Arial" w:cs="Arial" w:eastAsia="Arial" w:hAnsi="Arial"/>
          <w:b/>
          <w:bCs/>
          <w:sz w:val="22"/>
          <w:szCs w:val="22"/>
        </w:rPr>
        <w:t xml:space="preserve">Engineering Team: </w:t>
      </w:r>
      <w:r>
        <w:rPr>
          <w:rFonts w:ascii="Arial" w:cs="Arial" w:eastAsia="Arial" w:hAnsi="Arial"/>
          <w:sz w:val="22"/>
          <w:szCs w:val="22"/>
        </w:rPr>
        <w:t xml:space="preserve">Downstream of the meter — energy efficiency projects, building automation controls, electrification of heating systems, energy recovery systems, chiller optimization.</w:t>
      </w:r>
    </w:p>
    <w:p>
      <w:pPr>
        <w:pStyle w:val="ListParagraph"/>
        <w:numPr>
          <w:ilvl w:val="0"/>
          <w:numId w:val="2"/>
        </w:numPr>
        <w:spacing w:after="40" w:before="40"/>
      </w:pPr>
      <w:r>
        <w:rPr>
          <w:rFonts w:ascii="Arial" w:cs="Arial" w:eastAsia="Arial" w:hAnsi="Arial"/>
          <w:b/>
          <w:bCs/>
          <w:sz w:val="22"/>
          <w:szCs w:val="22"/>
        </w:rPr>
        <w:t xml:space="preserve">Facilities Performance Team: </w:t>
      </w:r>
      <w:r>
        <w:rPr>
          <w:rFonts w:ascii="Arial" w:cs="Arial" w:eastAsia="Arial" w:hAnsi="Arial"/>
          <w:sz w:val="22"/>
          <w:szCs w:val="22"/>
        </w:rPr>
        <w:t xml:space="preserve">Works directly with hospital operators to train staff on equipment operation, remove the human-error element, and drive behavioral efficiency. Scott noted this team's training investments produced 11% energy savings vs. 4% from capital equipment replacements — at a fraction of the cost.</w:t>
      </w:r>
    </w:p>
    <w:p>
      <w:pPr>
        <w:pStyle w:val="Heading2"/>
      </w:pPr>
      <w:r>
        <w:rPr>
          <w:rFonts w:ascii="Arial" w:cs="Arial" w:eastAsia="Arial" w:hAnsi="Arial"/>
        </w:rPr>
        <w:t xml:space="preserve">2.2 Billing Infrastructure: Peer AI (Constellation Energy)</w:t>
      </w:r>
    </w:p>
    <w:p>
      <w:pPr>
        <w:spacing w:after="100" w:before="0"/>
      </w:pPr>
      <w:r>
        <w:rPr>
          <w:rFonts w:ascii="Arial" w:cs="Arial" w:eastAsia="Arial" w:hAnsi="Arial"/>
          <w:sz w:val="22"/>
          <w:szCs w:val="22"/>
        </w:rPr>
        <w:t xml:space="preserve">Ascension transitioned to Peer AI — an AI-powered energy analytics platform owned by Constellation Energy — approximately nine months before this interview, replacing a prior third-party processor they had been unhappy with. Peer AI handles bill receipt, payment, anomaly flagging, and cross-portfolio analytics.</w:t>
      </w:r>
    </w:p>
    <w:p>
      <w:pPr>
        <w:spacing w:after="100" w:before="0"/>
      </w:pPr>
      <w:r>
        <w:rPr>
          <w:rFonts w:ascii="Arial" w:cs="Arial" w:eastAsia="Arial" w:hAnsi="Arial"/>
          <w:sz w:val="22"/>
          <w:szCs w:val="22"/>
        </w:rPr>
        <w:t xml:space="preserve">Scott's Peer AI use cases in practice:</w:t>
      </w:r>
    </w:p>
    <w:p>
      <w:pPr>
        <w:pStyle w:val="ListParagraph"/>
        <w:numPr>
          <w:ilvl w:val="0"/>
          <w:numId w:val="2"/>
        </w:numPr>
        <w:spacing w:after="40" w:before="40"/>
      </w:pPr>
      <w:r>
        <w:rPr>
          <w:rFonts w:ascii="Arial" w:cs="Arial" w:eastAsia="Arial" w:hAnsi="Arial"/>
          <w:b/>
          <w:bCs/>
          <w:sz w:val="22"/>
          <w:szCs w:val="22"/>
        </w:rPr>
        <w:t xml:space="preserve">Dead meter detection: </w:t>
      </w:r>
      <w:r>
        <w:rPr>
          <w:rFonts w:ascii="Arial" w:cs="Arial" w:eastAsia="Arial" w:hAnsi="Arial"/>
          <w:sz w:val="22"/>
          <w:szCs w:val="22"/>
        </w:rPr>
        <w:t xml:space="preserve">Peer AI identified a location paying $32/month, exactly the same amount, for months — flagging it as a dead meter nobody had turned off. Without pattern-matching across time, this never would have been caught.</w:t>
      </w:r>
    </w:p>
    <w:p>
      <w:pPr>
        <w:pStyle w:val="ListParagraph"/>
        <w:numPr>
          <w:ilvl w:val="0"/>
          <w:numId w:val="2"/>
        </w:numPr>
        <w:spacing w:after="40" w:before="40"/>
      </w:pPr>
      <w:r>
        <w:rPr>
          <w:rFonts w:ascii="Arial" w:cs="Arial" w:eastAsia="Arial" w:hAnsi="Arial"/>
          <w:b/>
          <w:bCs/>
          <w:sz w:val="22"/>
          <w:szCs w:val="22"/>
        </w:rPr>
        <w:t xml:space="preserve">Building comparisons: </w:t>
      </w:r>
      <w:r>
        <w:rPr>
          <w:rFonts w:ascii="Arial" w:cs="Arial" w:eastAsia="Arial" w:hAnsi="Arial"/>
          <w:sz w:val="22"/>
          <w:szCs w:val="22"/>
        </w:rPr>
        <w:t xml:space="preserve">Using square footage and geographic data, Peer AI benchmarks similar hospitals against each other and flags buildings that are consuming disproportionately for their size and climate zone.</w:t>
      </w:r>
    </w:p>
    <w:p>
      <w:pPr>
        <w:pStyle w:val="ListParagraph"/>
        <w:numPr>
          <w:ilvl w:val="0"/>
          <w:numId w:val="2"/>
        </w:numPr>
        <w:spacing w:after="40" w:before="40"/>
      </w:pPr>
      <w:r>
        <w:rPr>
          <w:rFonts w:ascii="Arial" w:cs="Arial" w:eastAsia="Arial" w:hAnsi="Arial"/>
          <w:b/>
          <w:bCs/>
          <w:sz w:val="22"/>
          <w:szCs w:val="22"/>
        </w:rPr>
        <w:t xml:space="preserve">Polar vortex nomination management: </w:t>
      </w:r>
      <w:r>
        <w:rPr>
          <w:rFonts w:ascii="Arial" w:cs="Arial" w:eastAsia="Arial" w:hAnsi="Arial"/>
          <w:sz w:val="22"/>
          <w:szCs w:val="22"/>
        </w:rPr>
        <w:t xml:space="preserve">Scott's most compelling ROI story: Peer AI is being used to monitor weather forecasts and alert the natural gas trading desk 24 hours before extreme cold events, allowing Ascension to increase gas nominations before prices spike. One polar vortex event (likely Winter Storm Uri) cost $7.2 million in three days. This program is estimated to be worth several million dollars annually.</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The Dead Meter Problem — Ascension's Largest Billing Error Category</w:t>
      </w:r>
    </w:p>
    <w:p>
      <w:pPr>
        <w:spacing w:after="100" w:before="0"/>
      </w:pPr>
      <w:r>
        <w:rPr>
          <w:rFonts w:ascii="Arial" w:cs="Arial" w:eastAsia="Arial" w:hAnsi="Arial"/>
          <w:sz w:val="22"/>
          <w:szCs w:val="22"/>
        </w:rPr>
        <w:t xml:space="preserve">When asked where he finds the most frequent billing errors, Scott's answer was immediate and specific: paying for sites Ascension no longer occupies.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"Paying for sites that we no longer own. I mean, we've paid meters for over 2 years with different people."</w:t>
            </w:r>
          </w:p>
        </w:tc>
      </w:tr>
    </w:tbl>
    <w:p>
      <w:pPr>
        <w:spacing w:after="100" w:before="0"/>
      </w:pPr>
      <w:r>
        <w:rPr>
          <w:rFonts w:ascii="Arial" w:cs="Arial" w:eastAsia="Arial" w:hAnsi="Arial"/>
          <w:sz w:val="22"/>
          <w:szCs w:val="22"/>
        </w:rPr>
        <w:t xml:space="preserve">With over 2,500 care sites, Ascension constantly moves in and out of leased spaces, medical office buildings, and strip mall locations. When a site is vacated, the meter is not always turned off — and if the baseline is consistent, the threshold-based exception system doesn't flag it. Peer AI's business case was partially justified on this category alone: $1 million/year in savings from detecting and eliminating payments for vacated sites.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mirrors Roger Goldstein's 'paying the neighbor's electricity' story at Panda, but at healthcare scale. For multi-site operators who frequently open and close locations — QSRs, retailers, health systems, banks — this 'ghost meter' category is a recurring, predictable, and high-value error class. Clear Current should build a specific 'ghost meter detection' alert type and quantify it in sales conversations.</w:t>
      </w:r>
    </w:p>
    <w:p>
      <w:pPr>
        <w:pStyle w:val="Heading2"/>
      </w:pPr>
      <w:r>
        <w:rPr>
          <w:rFonts w:ascii="Arial" w:cs="Arial" w:eastAsia="Arial" w:hAnsi="Arial"/>
        </w:rPr>
        <w:t xml:space="preserve">3.2 The Layman's Interface Is the Product</w:t>
      </w:r>
    </w:p>
    <w:p>
      <w:pPr>
        <w:spacing w:after="100" w:before="0"/>
      </w:pPr>
      <w:r>
        <w:rPr>
          <w:rFonts w:ascii="Arial" w:cs="Arial" w:eastAsia="Arial" w:hAnsi="Arial"/>
          <w:sz w:val="22"/>
          <w:szCs w:val="22"/>
        </w:rPr>
        <w:t xml:space="preserve">When asked what he would build if starting an AI energy management platform from scratch, Scott's answer was unambiguous: make it accessible to non-technical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"All the technology is out there to control things, do things, monitor things, measure things, whatever. It's how I get administrators to interact with the system without being technical, right? Is my building using more energy than a sister building? What would be my projected utility bill for next month based on current weather outlook?"</w:t>
            </w:r>
          </w:p>
        </w:tc>
      </w:tr>
    </w:tbl>
    <w:p>
      <w:pPr>
        <w:spacing w:after="100" w:before="0"/>
      </w:pPr>
      <w:r>
        <w:rPr>
          <w:rFonts w:ascii="Arial" w:cs="Arial" w:eastAsia="Arial" w:hAnsi="Arial"/>
          <w:sz w:val="22"/>
          <w:szCs w:val="22"/>
        </w:rPr>
        <w:t xml:space="preserve">He described a specific recurring pain point with hospital administration: 'Why is my utility bill not matching my budget?' That question — not demand optimization or tariff analysis — is the conversation Scott has with finance leadership constantly. An AI system that can answer that question in natural language, without requiring a technical filter, is the product he needs.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strongest validation yet of Dan's dual-audience UX architecture. Scott confirmed that the finance/administration audience can't access or interpret technical energy data — but the CEO picking up his cell phone and asking 'what is the cost of my utilities in St. John's in Tulsa, Oklahoma' is exactly what Peer AI has enabled, and exactly what Clear Current should replicate. The chat interface is not a nice-to-have for this vertical — it is the product.</w:t>
      </w:r>
    </w:p>
    <w:p>
      <w:pPr>
        <w:pStyle w:val="Heading2"/>
      </w:pPr>
      <w:r>
        <w:rPr>
          <w:rFonts w:ascii="Arial" w:cs="Arial" w:eastAsia="Arial" w:hAnsi="Arial"/>
        </w:rPr>
        <w:t xml:space="preserve">3.3 Rules-Based vs. True AI: Scott's Skepticism</w:t>
      </w:r>
    </w:p>
    <w:p>
      <w:pPr>
        <w:spacing w:after="100" w:before="0"/>
      </w:pPr>
      <w:r>
        <w:rPr>
          <w:rFonts w:ascii="Arial" w:cs="Arial" w:eastAsia="Arial" w:hAnsi="Arial"/>
          <w:sz w:val="22"/>
          <w:szCs w:val="22"/>
        </w:rPr>
        <w:t xml:space="preserve">Scott made a distinction that several other interviewees touched on but he articulated most precisely: the difference between rules-based systems (which he acknowledged are highly effective) and true AI (which he defined as a system that writes its own algorithms rather than running pre-defined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"Is it going to help us mitigate cost? Absolutely, because it's going to look at a bunch of different things. But I'm one of those guys that still think some AI things are strictly rules-based."</w:t>
            </w:r>
          </w:p>
        </w:tc>
      </w:tr>
    </w:tbl>
    <w:p>
      <w:pPr>
        <w:spacing w:after="100" w:before="0"/>
      </w:pPr>
      <w:r>
        <w:rPr>
          <w:rFonts w:ascii="Arial" w:cs="Arial" w:eastAsia="Arial" w:hAnsi="Arial"/>
          <w:sz w:val="22"/>
          <w:szCs w:val="22"/>
        </w:rPr>
        <w:t xml:space="preserve">He used this framework to describe fault detection technology (FTD) — a category of software that monitors building systems for anomalies. He noted that FTD systems are effective and proven, but they are rule-based, not AI. This distinction matters to him because it affects how much he trusts a platform's claims about what it can do.</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Clear Current should be precise about what its system does and doesn't do when engaging sophisticated buyers like Scott. The tariff logic and billing reconstruction capabilities are genuinely AI-powered, while the anomaly threshold alerts are more rules-adjacent. Being accurate about this distinction will build trust faster than overselling.</w:t>
      </w:r>
    </w:p>
    <w:p>
      <w:pPr>
        <w:pStyle w:val="Heading2"/>
      </w:pPr>
      <w:r>
        <w:rPr>
          <w:rFonts w:ascii="Arial" w:cs="Arial" w:eastAsia="Arial" w:hAnsi="Arial"/>
        </w:rPr>
        <w:t xml:space="preserve">3.4 Data Security and Vendor Transitions</w:t>
      </w:r>
    </w:p>
    <w:p>
      <w:pPr>
        <w:spacing w:after="100" w:before="0"/>
      </w:pPr>
      <w:r>
        <w:rPr>
          <w:rFonts w:ascii="Arial" w:cs="Arial" w:eastAsia="Arial" w:hAnsi="Arial"/>
          <w:sz w:val="22"/>
          <w:szCs w:val="22"/>
        </w:rPr>
        <w:t xml:space="preserve">Scott described a PricewaterhouseCoopers engagement from roughly five years ago in which Ascension turned over data for 125 hospitals with over 12 years of operational data — potentially the largest acute-care hospital database in existence. He described fighting hard to anonymize it while still getting the analysis value.</w:t>
      </w:r>
    </w:p>
    <w:p>
      <w:pPr>
        <w:spacing w:after="100" w:before="0"/>
      </w:pPr>
      <w:r>
        <w:rPr>
          <w:rFonts w:ascii="Arial" w:cs="Arial" w:eastAsia="Arial" w:hAnsi="Arial"/>
          <w:sz w:val="22"/>
          <w:szCs w:val="22"/>
        </w:rPr>
        <w:t xml:space="preserve">He also noted that the AI/energy software market moves so fast that pilot programs often hit the market too late: 'By the time we got it on the system, six months later I was talking about it, people were like, what are you talking about? This is the name of our company now.'</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Two clear product implications: (1) Data security documentation — who can see the data, how is it anonymized, what are the data handling obligations — needs to be ready before any enterprise healthcare conversation, as Scott raised it unprompted. (2) The sales cycle in healthcare energy is long, and the market changes fast enough that vendor identity can shift during a pilot. Clear Current should be building customer relationships around outcomes (dollars found, recovered, avoided), not software features that may look different six months from now.</w:t>
      </w:r>
    </w:p>
    <w:p>
      <w:pPr>
        <w:pStyle w:val="Heading2"/>
      </w:pPr>
      <w:r>
        <w:rPr>
          <w:rFonts w:ascii="Arial" w:cs="Arial" w:eastAsia="Arial" w:hAnsi="Arial"/>
        </w:rPr>
        <w:t xml:space="preserve">3.5 The Training vs. Capital Investment Insight</w:t>
      </w:r>
    </w:p>
    <w:p>
      <w:pPr>
        <w:spacing w:after="100" w:before="0"/>
      </w:pPr>
      <w:r>
        <w:rPr>
          <w:rFonts w:ascii="Arial" w:cs="Arial" w:eastAsia="Arial" w:hAnsi="Arial"/>
          <w:sz w:val="22"/>
          <w:szCs w:val="22"/>
        </w:rPr>
        <w:t xml:space="preserve">Scott offered an unexpected insight about the relative ROI of different energy investment types. Over his tenure at Ascension, capital equipment replacements (new HVAC, lighting, controls) produced about 4% energy savings across the portfolio — representing tens of millions of dollars in project spend. Meanwhile, the Facilities Performance team's work training hospital operators to run their equipment correctly produced 11% savings — at a fraction of the capital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"I've got $35 million of savings. Well, remember, to do the $35 million of savings, I spend 5x on the capital side compared to the training side, yet I got more out of this side."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 counterintuitive finding for energy technology vendors: the biggest efficiency gains often come from changing how people operate existing equipment, not from buying new equipment or software. Clear Current's platform should think about how it can support the behavioral/operational side — for example, flagging when a building's consumption profile suggests equipment is not being operated as scheduled, or when consumption is inconsistent with building occupancy patterns.</w:t>
      </w:r>
    </w:p>
    <w:p>
      <w:pPr>
        <w:pStyle w:val="Heading1"/>
      </w:pPr>
      <w:r>
        <w:rPr>
          <w:rFonts w:ascii="Arial" w:cs="Arial" w:eastAsia="Arial" w:hAnsi="Arial"/>
        </w:rPr>
        <w:t xml:space="preserve">4. Annual Energy Management Calendar — Ascension/Medxcel</w:t>
      </w:r>
    </w:p>
    <w:p>
      <w:pPr>
        <w:spacing w:after="100" w:before="0"/>
      </w:pPr>
      <w:r>
        <w:rPr>
          <w:rFonts w:ascii="Arial" w:cs="Arial" w:eastAsia="Arial" w:hAnsi="Arial"/>
          <w:sz w:val="22"/>
          <w:szCs w:val="22"/>
        </w:rPr>
        <w:t xml:space="preserve">Scott confirmed the healthcare calendar follows the seasonal heating/cooling cycle described by other interviewees. He added two healthcare-specific dimensions:</w:t>
      </w:r>
    </w:p>
    <w:p>
      <w:pPr>
        <w:pStyle w:val="ListParagraph"/>
        <w:numPr>
          <w:ilvl w:val="0"/>
          <w:numId w:val="2"/>
        </w:numPr>
        <w:spacing w:after="40" w:before="40"/>
      </w:pPr>
      <w:r>
        <w:rPr>
          <w:rFonts w:ascii="Arial" w:cs="Arial" w:eastAsia="Arial" w:hAnsi="Arial"/>
          <w:b/>
          <w:bCs/>
          <w:sz w:val="22"/>
          <w:szCs w:val="22"/>
        </w:rPr>
        <w:t xml:space="preserve">Budget forecasting: </w:t>
      </w:r>
      <w:r>
        <w:rPr>
          <w:rFonts w:ascii="Arial" w:cs="Arial" w:eastAsia="Arial" w:hAnsi="Arial"/>
          <w:sz w:val="22"/>
          <w:szCs w:val="22"/>
        </w:rPr>
        <w:t xml:space="preserve">Occurs during each organization's fiscal year cycle. AI that could accelerate and improve the accuracy of utility budget forecasting was one of Scott's explicit requests — 'one thing AI could help with is budgeting going much quicker.'</w:t>
      </w:r>
    </w:p>
    <w:p>
      <w:pPr>
        <w:pStyle w:val="ListParagraph"/>
        <w:numPr>
          <w:ilvl w:val="0"/>
          <w:numId w:val="2"/>
        </w:numPr>
        <w:spacing w:after="40" w:before="40"/>
      </w:pPr>
      <w:r>
        <w:rPr>
          <w:rFonts w:ascii="Arial" w:cs="Arial" w:eastAsia="Arial" w:hAnsi="Arial"/>
          <w:b/>
          <w:bCs/>
          <w:sz w:val="22"/>
          <w:szCs w:val="22"/>
        </w:rPr>
        <w:t xml:space="preserve">Hedging windows: </w:t>
      </w:r>
      <w:r>
        <w:rPr>
          <w:rFonts w:ascii="Arial" w:cs="Arial" w:eastAsia="Arial" w:hAnsi="Arial"/>
          <w:sz w:val="22"/>
          <w:szCs w:val="22"/>
        </w:rPr>
        <w:t xml:space="preserve">Natural gas hedging decisions are most effectively made when markets are favorable (typically not mid-winter). Having real-time consumption data alongside market outlooks is what makes the Peer AI polar vortex nomination program valuable.</w:t>
      </w:r>
    </w:p>
    <w:p>
      <w:pPr>
        <w:pStyle w:val="Heading1"/>
      </w:pPr>
      <w:r>
        <w:rPr>
          <w:rFonts w:ascii="Arial" w:cs="Arial" w:eastAsia="Arial" w:hAnsi="Arial"/>
        </w:rPr>
        <w:t xml:space="preserve">5.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Build a Ghost Meter Detection Alert as a Named Feature</w:t>
            </w:r>
          </w:p>
          <w:p>
            <w:pPr>
              <w:spacing w:after="0" w:before="0"/>
            </w:pPr>
            <w:r>
              <w:rPr>
                <w:rFonts w:ascii="Arial" w:cs="Arial" w:eastAsia="Arial" w:hAnsi="Arial"/>
                <w:sz w:val="21"/>
                <w:szCs w:val="21"/>
              </w:rPr>
              <w:t xml:space="preserve">Scott's most common billing error category — paying for vacated sites — is a pattern-detection problem, not a spike alert problem. A 'ghost meter' detection module that flags when a site shows consistent low-level payments with no corresponding operational activity (no HVAC cycling, no occupancy correlation, no lease in system) would be directly valued by health systems, large retailers, and QSR operators alike.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The Natural Language Executive Query Is the Healthcare Sales Demo</w:t>
            </w:r>
          </w:p>
          <w:p>
            <w:pPr>
              <w:spacing w:after="0" w:before="0"/>
            </w:pPr>
            <w:r>
              <w:rPr>
                <w:rFonts w:ascii="Arial" w:cs="Arial" w:eastAsia="Arial" w:hAnsi="Arial"/>
                <w:sz w:val="21"/>
                <w:szCs w:val="21"/>
              </w:rPr>
              <w:t xml:space="preserve">Scott described Peer AI's most-used feature as the ability for a non-technical executive to ask in plain language about utility costs at a specific hospital. 'What is the cost of my utilities in St. John's in Tulsa' is a sentence that sells the product. Clear Current's demo for hospital administration should start here — not with an anomaly chart or a tariff comparison, but with the moment an executive asks a simple question and gets a real answer without calling an engineer.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Prepare Data Security Documentation Before Any Ascension/Medxcel Conversation</w:t>
            </w:r>
          </w:p>
          <w:p>
            <w:pPr>
              <w:spacing w:after="0" w:before="0"/>
            </w:pPr>
            <w:r>
              <w:rPr>
                <w:rFonts w:ascii="Arial" w:cs="Arial" w:eastAsia="Arial" w:hAnsi="Arial"/>
                <w:sz w:val="21"/>
                <w:szCs w:val="21"/>
              </w:rPr>
              <w:t xml:space="preserve">Scott mentioned data security unprompted and noted Ascension's history of fighting to protect data when working with third parties. SOC 2 compliance, data anonymization protocols, and a clear statement of what data Clear Current accesses vs. what stays on-premise are required reading before any follow-up conversation with this organization.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Reference the Constellation / Peer AI Relationship When Positioning Against Incumbents</w:t>
            </w:r>
          </w:p>
          <w:p>
            <w:pPr>
              <w:spacing w:after="0" w:before="0"/>
            </w:pPr>
            <w:r>
              <w:rPr>
                <w:rFonts w:ascii="Arial" w:cs="Arial" w:eastAsia="Arial" w:hAnsi="Arial"/>
                <w:sz w:val="21"/>
                <w:szCs w:val="21"/>
              </w:rPr>
              <w:t xml:space="preserve">Peer AI (Constellation Energy) is a named incumbent at Ascension. Understanding what Peer AI does and doesn't do — and where its gaps are — is important for any follow-up engagement. Scott noted Ascension has only been on Peer AI nine months and is still 'scratching the surface.' There may be a product gap conversation worth having as their use deepens.</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2026-04-14T22:27:16.862Z</dcterms:created>
  <dcterms:modified xsi:type="dcterms:W3CDTF">2026-04-14T22:27:16.862Z</dcterms:modified>
</cp:coreProperties>
</file>

<file path=docProps/custom.xml><?xml version="1.0" encoding="utf-8"?>
<Properties xmlns="http://schemas.openxmlformats.org/officeDocument/2006/custom-properties" xmlns:vt="http://schemas.openxmlformats.org/officeDocument/2006/docPropsVTypes"/>
</file>