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6"/>
          <w:szCs w:val="36"/>
        </w:rPr>
        <w:t xml:space="preserve">Interview Summary</w:t>
      </w:r>
    </w:p>
    <w:p>
      <w:pPr>
        <w:spacing w:after="20" w:before="100"/>
        <w:jc w:val="center"/>
      </w:pPr>
      <w:r>
        <w:rPr>
          <w:rFonts w:ascii="Arial" w:cs="Arial" w:eastAsia="Arial" w:hAnsi="Arial"/>
          <w:b/>
          <w:bCs/>
          <w:color w:val="444444"/>
          <w:sz w:val="26"/>
          <w:szCs w:val="26"/>
        </w:rPr>
        <w:t xml:space="preserve">Sean Sevy | Houston Methodist</w:t>
      </w:r>
    </w:p>
    <w:p>
      <w:pPr>
        <w:spacing w:after="20" w:before="0"/>
        <w:jc w:val="center"/>
      </w:pPr>
      <w:r>
        <w:rPr>
          <w:rFonts w:ascii="Arial" w:cs="Arial" w:eastAsia="Arial" w:hAnsi="Arial"/>
          <w:color w:val="444444"/>
          <w:sz w:val="22"/>
          <w:szCs w:val="22"/>
        </w:rPr>
        <w:t xml:space="preserve">Director of Operations, System Facilities</w:t>
      </w:r>
    </w:p>
    <w:p>
      <w:pPr>
        <w:spacing w:after="200" w:before="0"/>
        <w:jc w:val="center"/>
      </w:pPr>
      <w:r>
        <w:rPr>
          <w:rFonts w:ascii="Arial" w:cs="Arial" w:eastAsia="Arial" w:hAnsi="Arial"/>
          <w:i/>
          <w:iCs/>
          <w:color w:val="777777"/>
          <w:sz w:val="20"/>
          <w:szCs w:val="20"/>
        </w:rPr>
        <w:t xml:space="preserve">Conducted by Clayton Hester  |  April 14,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6"/>
              <w:left w:val="single" w:color="F5C518" w:sz="6"/>
              <w:bottom w:val="single" w:color="F5C518" w:sz="6"/>
              <w:right w:val="single" w:color="F5C518" w:sz="6"/>
            </w:tcBorders>
            <w:shd w:fill="FEF9E7" w:val="clear"/>
            <w:tcMar>
              <w:top w:type="dxa" w:w="120"/>
              <w:left w:type="dxa" w:w="160"/>
              <w:bottom w:type="dxa" w:w="120"/>
              <w:right w:type="dxa" w:w="160"/>
            </w:tcMar>
          </w:tcPr>
          <w:p>
            <w:pPr>
              <w:spacing w:after="60" w:before="0"/>
            </w:pPr>
            <w:r>
              <w:rPr>
                <w:rFonts w:ascii="Arial" w:cs="Arial" w:eastAsia="Arial" w:hAnsi="Arial"/>
                <w:b/>
                <w:bCs/>
                <w:color w:val="0A1628"/>
                <w:sz w:val="22"/>
                <w:szCs w:val="22"/>
              </w:rPr>
              <w:t xml:space="preserve">Why This Interview Matters</w:t>
            </w:r>
          </w:p>
          <w:p>
            <w:pPr>
              <w:spacing w:after="0" w:before="0"/>
            </w:pPr>
            <w:r>
              <w:rPr>
                <w:rFonts w:ascii="Arial" w:cs="Arial" w:eastAsia="Arial" w:hAnsi="Arial"/>
                <w:sz w:val="21"/>
                <w:szCs w:val="21"/>
              </w:rPr>
              <w:t xml:space="preserve">Sean Sevy is the Director of Operations for System Facilities at Houston Methodist, one of the nation's top-ranked hospital systems with eight hospitals and 300+ locations across the greater Houston area. He has spent nearly 23 years at Houston Methodist and began his healthcare facilities career in 1990, giving him one of the longest continuous views of how energy management in hospitals has evolved from pneumatic controls to digital systems to AI-assisted platforms. His interview is notable for two reasons: he provided the most comprehensive historical narrative of the evolution of hospital energy management, and he is an active user of a third-party energy analytics platform (Energy Print) — making his observations on where current tools fall short directly actionable for product development.</w:t>
            </w:r>
          </w:p>
        </w:tc>
      </w:tr>
    </w:tbl>
    <w:p>
      <w:pPr>
        <w:spacing w:after="160" w:before="0"/>
      </w:pPr>
    </w:p>
    <w:p>
      <w:pPr>
        <w:pStyle w:val="Heading1"/>
      </w:pPr>
      <w:r>
        <w:rPr>
          <w:rFonts w:ascii="Arial" w:cs="Arial" w:eastAsia="Arial" w:hAnsi="Arial"/>
        </w:rPr>
        <w:t xml:space="preserve">1. Interviewee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Sean Sevy</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Director of Operations, System Facilities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Houston Methodist</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Location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Richmond, TX (Greater Houston Area)</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Education</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MBA, University of Houston-Victoria (2003-2005)</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Career</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Memorial Hermann Hospital - Manager of Facilities (1996-2004) | St. Luke's Episcopal Hospital - Chief Engineer (2003-2005) | Houston Methodist - Director of Facilities, then Director of Operations, System Facilities (2005-present; ~23 years)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Hospitals</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8 hospitals, 300+ locations across the greater Houston area</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Third-Party Tool</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Energy Print (based in NJ/NY); used for benchmarking, bill tracking, Energy Star integration, and budgeting</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Energy Broker</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Prism Energy — manages energy procurement contracts and does cursory bill reviews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Interview Method</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Live call with Clayton Hester  |  April 14, 2026 (abbreviated — 23 minutes; email follow-up offered)</w:t>
            </w:r>
          </w:p>
        </w:tc>
      </w:tr>
    </w:tbl>
    <w:p>
      <w:pPr>
        <w:spacing w:after="80" w:before="0"/>
      </w:pPr>
    </w:p>
    <w:p>
      <w:pPr>
        <w:spacing w:after="100" w:before="0"/>
      </w:pPr>
      <w:r>
        <w:rPr>
          <w:rFonts w:ascii="Arial" w:cs="Arial" w:eastAsia="Arial" w:hAnsi="Arial"/>
          <w:sz w:val="22"/>
          <w:szCs w:val="22"/>
        </w:rPr>
        <w:t xml:space="preserve">Sean's career has been spent entirely within Houston healthcare systems, which gives him a Texas-specific perspective on energy management that is distinct from the Midwest and Mountain West systems interviewed elsewhere in this research program. He began his facilities career in 1990 when energy management was not yet a strategic priority — his description of the pneumatic-to-digital-to-AI transition over 35 years is the best historical arc captured in this research program.</w:t>
      </w:r>
    </w:p>
    <w:p>
      <w:pPr>
        <w:pStyle w:val="Heading1"/>
      </w:pPr>
      <w:r>
        <w:rPr>
          <w:rFonts w:ascii="Arial" w:cs="Arial" w:eastAsia="Arial" w:hAnsi="Arial"/>
        </w:rPr>
        <w:t xml:space="preserve">2. Houston Methodist — Energy Operations Overview</w:t>
      </w:r>
    </w:p>
    <w:p>
      <w:pPr>
        <w:pStyle w:val="ListParagraph"/>
        <w:numPr>
          <w:ilvl w:val="0"/>
          <w:numId w:val="2"/>
        </w:numPr>
        <w:spacing w:after="40" w:before="40"/>
      </w:pPr>
      <w:r>
        <w:rPr>
          <w:rFonts w:ascii="Arial" w:cs="Arial" w:eastAsia="Arial" w:hAnsi="Arial"/>
          <w:sz w:val="22"/>
          <w:szCs w:val="22"/>
        </w:rPr>
        <w:t xml:space="preserve">8 hospitals + 300+ outpatient and specialty locations across Greater Houston</w:t>
      </w:r>
    </w:p>
    <w:p>
      <w:pPr>
        <w:pStyle w:val="ListParagraph"/>
        <w:numPr>
          <w:ilvl w:val="0"/>
          <w:numId w:val="2"/>
        </w:numPr>
        <w:spacing w:after="40" w:before="40"/>
      </w:pPr>
      <w:r>
        <w:rPr>
          <w:rFonts w:ascii="Arial" w:cs="Arial" w:eastAsia="Arial" w:hAnsi="Arial"/>
          <w:sz w:val="22"/>
          <w:szCs w:val="22"/>
        </w:rPr>
        <w:t xml:space="preserve">Energy management focus: building automation systems, demand charge management, power factor correction, benchmarking via Energy Star</w:t>
      </w:r>
    </w:p>
    <w:p>
      <w:pPr>
        <w:pStyle w:val="ListParagraph"/>
        <w:numPr>
          <w:ilvl w:val="0"/>
          <w:numId w:val="2"/>
        </w:numPr>
        <w:spacing w:after="40" w:before="40"/>
      </w:pPr>
      <w:r>
        <w:rPr>
          <w:rFonts w:ascii="Arial" w:cs="Arial" w:eastAsia="Arial" w:hAnsi="Arial"/>
          <w:sz w:val="22"/>
          <w:szCs w:val="22"/>
        </w:rPr>
        <w:t xml:space="preserve">Energy Print (third-party platform): used for utility bill tracking, Energy Star score maintenance, and benchmarking against peer hospital systems; does not integrate with building automation</w:t>
      </w:r>
    </w:p>
    <w:p>
      <w:pPr>
        <w:pStyle w:val="ListParagraph"/>
        <w:numPr>
          <w:ilvl w:val="0"/>
          <w:numId w:val="2"/>
        </w:numPr>
        <w:spacing w:after="40" w:before="40"/>
      </w:pPr>
      <w:r>
        <w:rPr>
          <w:rFonts w:ascii="Arial" w:cs="Arial" w:eastAsia="Arial" w:hAnsi="Arial"/>
          <w:sz w:val="22"/>
          <w:szCs w:val="22"/>
        </w:rPr>
        <w:t xml:space="preserve">Prism Energy (broker): manages energy procurement contracts and provides cursory invoice review for calculation errors and tariff compliance</w:t>
      </w:r>
    </w:p>
    <w:p>
      <w:pPr>
        <w:pStyle w:val="ListParagraph"/>
        <w:numPr>
          <w:ilvl w:val="0"/>
          <w:numId w:val="2"/>
        </w:numPr>
        <w:spacing w:after="40" w:before="40"/>
      </w:pPr>
      <w:r>
        <w:rPr>
          <w:rFonts w:ascii="Arial" w:cs="Arial" w:eastAsia="Arial" w:hAnsi="Arial"/>
          <w:sz w:val="22"/>
          <w:szCs w:val="22"/>
        </w:rPr>
        <w:t xml:space="preserve">Next step: considering building automation-integrated platforms that combine operational HVAC intelligence with utility billing data — Sean described this as likely 3-5 years out for widespread adoption</w:t>
      </w:r>
    </w:p>
    <w:p>
      <w:pPr>
        <w:pStyle w:val="Heading1"/>
      </w:pPr>
      <w:r>
        <w:rPr>
          <w:rFonts w:ascii="Arial" w:cs="Arial" w:eastAsia="Arial" w:hAnsi="Arial"/>
        </w:rPr>
        <w:t xml:space="preserve">3. Key Interview Findings</w:t>
      </w:r>
    </w:p>
    <w:p>
      <w:pPr>
        <w:pStyle w:val="Heading2"/>
      </w:pPr>
      <w:r>
        <w:rPr>
          <w:rFonts w:ascii="Arial" w:cs="Arial" w:eastAsia="Arial" w:hAnsi="Arial"/>
        </w:rPr>
        <w:t xml:space="preserve">3.1 The 35-Year Arc: From Pneumatics to AI</w:t>
      </w:r>
    </w:p>
    <w:p>
      <w:pPr>
        <w:spacing w:after="100" w:before="0"/>
      </w:pPr>
      <w:r>
        <w:rPr>
          <w:rFonts w:ascii="Arial" w:cs="Arial" w:eastAsia="Arial" w:hAnsi="Arial"/>
          <w:sz w:val="22"/>
          <w:szCs w:val="22"/>
        </w:rPr>
        <w:t xml:space="preserve">Sean provided the most historically grounded perspective on energy management evolution of any interviewee in this research program. He described four distinct eras:</w:t>
      </w:r>
    </w:p>
    <w:p>
      <w:pPr>
        <w:pStyle w:val="ListParagraph"/>
        <w:numPr>
          <w:ilvl w:val="0"/>
          <w:numId w:val="2"/>
        </w:numPr>
        <w:spacing w:after="40" w:before="40"/>
      </w:pPr>
      <w:r>
        <w:rPr>
          <w:rFonts w:ascii="Arial" w:cs="Arial" w:eastAsia="Arial" w:hAnsi="Arial"/>
          <w:b/>
          <w:bCs/>
          <w:sz w:val="22"/>
          <w:szCs w:val="22"/>
        </w:rPr>
        <w:t xml:space="preserve">Pre-1990s: </w:t>
      </w:r>
      <w:r>
        <w:rPr>
          <w:rFonts w:ascii="Arial" w:cs="Arial" w:eastAsia="Arial" w:hAnsi="Arial"/>
          <w:sz w:val="22"/>
          <w:szCs w:val="22"/>
        </w:rPr>
        <w:t xml:space="preserve">Energy was cheap. Comfort, not efficiency, was the priority. All controls were manual or pneumatic. No strategic focus on energy spend.</w:t>
      </w:r>
    </w:p>
    <w:p>
      <w:pPr>
        <w:pStyle w:val="ListParagraph"/>
        <w:numPr>
          <w:ilvl w:val="0"/>
          <w:numId w:val="2"/>
        </w:numPr>
        <w:spacing w:after="40" w:before="40"/>
      </w:pPr>
      <w:r>
        <w:rPr>
          <w:rFonts w:ascii="Arial" w:cs="Arial" w:eastAsia="Arial" w:hAnsi="Arial"/>
          <w:b/>
          <w:bCs/>
          <w:sz w:val="22"/>
          <w:szCs w:val="22"/>
        </w:rPr>
        <w:t xml:space="preserve">1990s: </w:t>
      </w:r>
      <w:r>
        <w:rPr>
          <w:rFonts w:ascii="Arial" w:cs="Arial" w:eastAsia="Arial" w:hAnsi="Arial"/>
          <w:sz w:val="22"/>
          <w:szCs w:val="22"/>
        </w:rPr>
        <w:t xml:space="preserve">Pneumatic to direct digital control (DDC) transition. Energy savings became a secondary benefit of better control — automation enabled turning systems off and on on schedule. Simple payback calculations introduced. Lighting retrofits (T12 to T8 fluorescent) became standard.</w:t>
      </w:r>
    </w:p>
    <w:p>
      <w:pPr>
        <w:pStyle w:val="ListParagraph"/>
        <w:numPr>
          <w:ilvl w:val="0"/>
          <w:numId w:val="2"/>
        </w:numPr>
        <w:spacing w:after="40" w:before="40"/>
      </w:pPr>
      <w:r>
        <w:rPr>
          <w:rFonts w:ascii="Arial" w:cs="Arial" w:eastAsia="Arial" w:hAnsi="Arial"/>
          <w:b/>
          <w:bCs/>
          <w:sz w:val="22"/>
          <w:szCs w:val="22"/>
        </w:rPr>
        <w:t xml:space="preserve">2000s-2010s: </w:t>
      </w:r>
      <w:r>
        <w:rPr>
          <w:rFonts w:ascii="Arial" w:cs="Arial" w:eastAsia="Arial" w:hAnsi="Arial"/>
          <w:sz w:val="22"/>
          <w:szCs w:val="22"/>
        </w:rPr>
        <w:t xml:space="preserve">Building automation systems (BAS) matured. Demand side management emerged — monitoring 15-minute demand peaks, installing capacitors for power factor improvement. LED lighting. Energy Star program adopted.</w:t>
      </w:r>
    </w:p>
    <w:p>
      <w:pPr>
        <w:pStyle w:val="ListParagraph"/>
        <w:numPr>
          <w:ilvl w:val="0"/>
          <w:numId w:val="2"/>
        </w:numPr>
        <w:spacing w:after="40" w:before="40"/>
      </w:pPr>
      <w:r>
        <w:rPr>
          <w:rFonts w:ascii="Arial" w:cs="Arial" w:eastAsia="Arial" w:hAnsi="Arial"/>
          <w:b/>
          <w:bCs/>
          <w:sz w:val="22"/>
          <w:szCs w:val="22"/>
        </w:rPr>
        <w:t xml:space="preserve">Current and emerging: </w:t>
      </w:r>
      <w:r>
        <w:rPr>
          <w:rFonts w:ascii="Arial" w:cs="Arial" w:eastAsia="Arial" w:hAnsi="Arial"/>
          <w:sz w:val="22"/>
          <w:szCs w:val="22"/>
        </w:rPr>
        <w:t xml:space="preserve">AI components being added to BAS control loops — self-learning control optimization. Material modeling for construction specifications. AI-powered benchmarking through third-party platforms. Early stages of AI integration with building operations data.</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historical arc is valuable context for positioning Clear Current's platform. The billing intelligence layer Sean is currently using (Energy Print) operates entirely outside the building — it sees only what the utility bills for. The next frontier he anticipates is a layer that bridges billing data and building operations data. Clear Current is positioned at the billing intelligence layer, which is where Sean currently lives. The question for future product development is whether Clear Current can begin to bridge toward the building operations layer.</w:t>
      </w:r>
    </w:p>
    <w:p>
      <w:pPr>
        <w:pStyle w:val="Heading2"/>
      </w:pPr>
      <w:r>
        <w:rPr>
          <w:rFonts w:ascii="Arial" w:cs="Arial" w:eastAsia="Arial" w:hAnsi="Arial"/>
        </w:rPr>
        <w:t xml:space="preserve">3.2 Energy Print — What It Does and Doesn't Do</w:t>
      </w:r>
    </w:p>
    <w:p>
      <w:pPr>
        <w:spacing w:after="100" w:before="0"/>
      </w:pPr>
      <w:r>
        <w:rPr>
          <w:rFonts w:ascii="Arial" w:cs="Arial" w:eastAsia="Arial" w:hAnsi="Arial"/>
          <w:sz w:val="22"/>
          <w:szCs w:val="22"/>
        </w:rPr>
        <w:t xml:space="preserve">Sean is an active user of Energy Print, a third-party energy analytics platform he described as primarily used for benchmarking and bill tracking. He was candid about both its value and its gaps.</w:t>
      </w:r>
    </w:p>
    <w:p>
      <w:pPr>
        <w:spacing w:after="100" w:before="0"/>
      </w:pPr>
      <w:r>
        <w:rPr>
          <w:rFonts w:ascii="Arial" w:cs="Arial" w:eastAsia="Arial" w:hAnsi="Arial"/>
          <w:sz w:val="22"/>
          <w:szCs w:val="22"/>
        </w:rPr>
        <w:t xml:space="preserve">What Energy Print does well:</w:t>
      </w:r>
    </w:p>
    <w:p>
      <w:pPr>
        <w:pStyle w:val="ListParagraph"/>
        <w:numPr>
          <w:ilvl w:val="0"/>
          <w:numId w:val="2"/>
        </w:numPr>
        <w:spacing w:after="40" w:before="40"/>
      </w:pPr>
      <w:r>
        <w:rPr>
          <w:rFonts w:ascii="Arial" w:cs="Arial" w:eastAsia="Arial" w:hAnsi="Arial"/>
          <w:b/>
          <w:bCs/>
          <w:sz w:val="22"/>
          <w:szCs w:val="22"/>
        </w:rPr>
        <w:t xml:space="preserve">Benchmarking: </w:t>
      </w:r>
      <w:r>
        <w:rPr>
          <w:rFonts w:ascii="Arial" w:cs="Arial" w:eastAsia="Arial" w:hAnsi="Arial"/>
          <w:sz w:val="22"/>
          <w:szCs w:val="22"/>
        </w:rPr>
        <w:t xml:space="preserve">Compares Houston Methodist hospitals against peer hospitals in Energy Star and helps identify which facilities are performing below expectations for their size and type.</w:t>
      </w:r>
    </w:p>
    <w:p>
      <w:pPr>
        <w:pStyle w:val="ListParagraph"/>
        <w:numPr>
          <w:ilvl w:val="0"/>
          <w:numId w:val="2"/>
        </w:numPr>
        <w:spacing w:after="40" w:before="40"/>
      </w:pPr>
      <w:r>
        <w:rPr>
          <w:rFonts w:ascii="Arial" w:cs="Arial" w:eastAsia="Arial" w:hAnsi="Arial"/>
          <w:b/>
          <w:bCs/>
          <w:sz w:val="22"/>
          <w:szCs w:val="22"/>
        </w:rPr>
        <w:t xml:space="preserve">Bill tracking and Energy Star integration: </w:t>
      </w:r>
      <w:r>
        <w:rPr>
          <w:rFonts w:ascii="Arial" w:cs="Arial" w:eastAsia="Arial" w:hAnsi="Arial"/>
          <w:sz w:val="22"/>
          <w:szCs w:val="22"/>
        </w:rPr>
        <w:t xml:space="preserve">Receives utility data, feeds it into Energy Star for compliance, and surfaces year-over-year trend comparisons.</w:t>
      </w:r>
    </w:p>
    <w:p>
      <w:pPr>
        <w:pStyle w:val="ListParagraph"/>
        <w:numPr>
          <w:ilvl w:val="0"/>
          <w:numId w:val="2"/>
        </w:numPr>
        <w:spacing w:after="40" w:before="40"/>
      </w:pPr>
      <w:r>
        <w:rPr>
          <w:rFonts w:ascii="Arial" w:cs="Arial" w:eastAsia="Arial" w:hAnsi="Arial"/>
          <w:b/>
          <w:bCs/>
          <w:sz w:val="22"/>
          <w:szCs w:val="22"/>
        </w:rPr>
        <w:t xml:space="preserve">Budgeting support: </w:t>
      </w:r>
      <w:r>
        <w:rPr>
          <w:rFonts w:ascii="Arial" w:cs="Arial" w:eastAsia="Arial" w:hAnsi="Arial"/>
          <w:sz w:val="22"/>
          <w:szCs w:val="22"/>
        </w:rPr>
        <w:t xml:space="preserve">Provides data inputs for annual utility budget projections.</w:t>
      </w:r>
    </w:p>
    <w:p>
      <w:pPr>
        <w:spacing w:after="100" w:before="0"/>
      </w:pPr>
      <w:r>
        <w:rPr>
          <w:rFonts w:ascii="Arial" w:cs="Arial" w:eastAsia="Arial" w:hAnsi="Arial"/>
          <w:sz w:val="22"/>
          <w:szCs w:val="22"/>
        </w:rPr>
        <w:t xml:space="preserve">What Energy Print does not do well, in Sean's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"Their forecasting tool is a little bit weaker. I know there's better opportunities, especially with AI integration, better AI models that'll help with forecasting. And where we struggle is we're a system that grows a lot."</w:t>
            </w:r>
          </w:p>
        </w:tc>
      </w:tr>
    </w:tbl>
    <w:p>
      <w:pPr>
        <w:spacing w:after="100" w:before="0"/>
      </w:pPr>
      <w:r>
        <w:rPr>
          <w:rFonts w:ascii="Arial" w:cs="Arial" w:eastAsia="Arial" w:hAnsi="Arial"/>
          <w:sz w:val="22"/>
          <w:szCs w:val="22"/>
        </w:rPr>
        <w:t xml:space="preserve">Sean's specific gap: Energy Print's forecasting models assume a relatively stable building portfolio. Houston Methodist adds campuses, hospital wings, and outpatient facilities regularly. Standard trend-based forecasting doesn't account for growth, and the platform has no way to model 'what if we added X square feet of this type of care.'</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a concrete product gap with a specific customer request attached: growth modeling for energy forecasting. Healthcare systems that are actively expanding — and there are many — need a forecasting tool that can absorb new building parameters and project what their utility spend will look like before the first bill arrives. This is not a standard feature of any current platform. If Clear Current can model forward-looking scenarios that include expansion parameters, that is a genuine differentiation for high-growth health systems.</w:t>
      </w:r>
    </w:p>
    <w:p>
      <w:pPr>
        <w:pStyle w:val="Heading2"/>
      </w:pPr>
      <w:r>
        <w:rPr>
          <w:rFonts w:ascii="Arial" w:cs="Arial" w:eastAsia="Arial" w:hAnsi="Arial"/>
        </w:rPr>
        <w:t xml:space="preserve">3.3 The Billing Error Landscape at Houston Methodist</w:t>
      </w:r>
    </w:p>
    <w:p>
      <w:pPr>
        <w:spacing w:after="100" w:before="0"/>
      </w:pPr>
      <w:r>
        <w:rPr>
          <w:rFonts w:ascii="Arial" w:cs="Arial" w:eastAsia="Arial" w:hAnsi="Arial"/>
          <w:sz w:val="22"/>
          <w:szCs w:val="22"/>
        </w:rPr>
        <w:t xml:space="preserve">Sean described billing errors as 'minimal' on their invoices — a notably different profile from what other interviewees described. He attributed this to Prism Energy's broker oversight providing a cursory calculation review. However, he was actively working on one case: a campus showing a power factor of 79-81%, far below the typical 93-94% baseline for modern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"That is unheard of nowadays. It's a meter issue is what I think. I just don't see the equipment we have in that building operating that poorly because of the newer equipment in there."</w:t>
            </w:r>
          </w:p>
        </w:tc>
      </w:tr>
    </w:tbl>
    <w:p>
      <w:pPr>
        <w:spacing w:after="100" w:before="0"/>
      </w:pPr>
      <w:r>
        <w:rPr>
          <w:rFonts w:ascii="Arial" w:cs="Arial" w:eastAsia="Arial" w:hAnsi="Arial"/>
          <w:sz w:val="22"/>
          <w:szCs w:val="22"/>
        </w:rPr>
        <w:t xml:space="preserve">Sean described this as a suspected meter malfunction rather than an actual power factor problem — the building's equipment is too modern to have that low a power factor, suggesting the meter is misreporting.</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a specific, named feature validation: power factor monitoring from billing data is detectable without building automation integration. Don Johnson raised power factor as his first unprompted feature request from Trane's perspective. Sean Sevy is actively investigating what he suspects is a power factor meter error. Clear Current should confirm whether its tariff analysis engine can detect power factor anomalies from billing data alone — if so, this is a clear quick-win alert type with healthcare validation.</w:t>
      </w:r>
    </w:p>
    <w:p>
      <w:pPr>
        <w:pStyle w:val="Heading2"/>
      </w:pPr>
      <w:r>
        <w:rPr>
          <w:rFonts w:ascii="Arial" w:cs="Arial" w:eastAsia="Arial" w:hAnsi="Arial"/>
        </w:rPr>
        <w:t xml:space="preserve">3.4 Demand Charge Management — Houston Methodist's Longstanding Focus</w:t>
      </w:r>
    </w:p>
    <w:p>
      <w:pPr>
        <w:spacing w:after="100" w:before="0"/>
      </w:pPr>
      <w:r>
        <w:rPr>
          <w:rFonts w:ascii="Arial" w:cs="Arial" w:eastAsia="Arial" w:hAnsi="Arial"/>
          <w:sz w:val="22"/>
          <w:szCs w:val="22"/>
        </w:rPr>
        <w:t xml:space="preserve">Sean described demand charge management as a strategic priority that Houston Methodist has focused on since the 1990s. The 15-minute peak demand window during summer months is the key billing variable that drives capacity charges — and controlling it has been a primary motivation for BAS investment, power factor correction, and load scheduling.</w:t>
      </w:r>
    </w:p>
    <w:p>
      <w:pPr>
        <w:spacing w:after="100" w:before="0"/>
      </w:pPr>
      <w:r>
        <w:rPr>
          <w:rFonts w:ascii="Arial" w:cs="Arial" w:eastAsia="Arial" w:hAnsi="Arial"/>
          <w:sz w:val="22"/>
          <w:szCs w:val="22"/>
        </w:rPr>
        <w:t xml:space="preserve">He also confirmed the AI self-learning control loop trend: modern BAS vendors are adding AI that optimizes control loops in real time, learning from weather, occupancy, and equipment state data to minimize demand peaks without compromising comfort. This is separate from billing intelligence — it is embedded in the building controls layer.</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Houston Methodist represents a sophisticated buyer who is already pursuing demand management actively through building controls. For Clear Current, the pitch here is not demand reduction — it's billing verification: 'your BAS is working to lower your demand. We make sure the utility is calculating your demand charge correctly based on what your meters actually recorded.'</w:t>
      </w:r>
    </w:p>
    <w:p>
      <w:pPr>
        <w:pStyle w:val="Heading1"/>
      </w:pPr>
      <w:r>
        <w:rPr>
          <w:rFonts w:ascii="Arial" w:cs="Arial" w:eastAsia="Arial" w:hAnsi="Arial"/>
        </w:rPr>
        <w:t xml:space="preserve">5. Annual Energy Management Calendar — Houston Methodist</w:t>
      </w:r>
    </w:p>
    <w:p>
      <w:pPr>
        <w:spacing w:after="100" w:before="0"/>
      </w:pPr>
      <w:r>
        <w:rPr>
          <w:rFonts w:ascii="Arial" w:cs="Arial" w:eastAsia="Arial" w:hAnsi="Arial"/>
          <w:sz w:val="22"/>
          <w:szCs w:val="22"/>
        </w:rPr>
        <w:t xml:space="preserve">Sean described the calendar as consistent with other hospital systems: summer is peak electricity from cooling, winter is peak natural gas from heating, shoulder seasons are optimization windows. Key Houston-specific observations:</w:t>
      </w:r>
    </w:p>
    <w:p>
      <w:pPr>
        <w:pStyle w:val="ListParagraph"/>
        <w:numPr>
          <w:ilvl w:val="0"/>
          <w:numId w:val="2"/>
        </w:numPr>
        <w:spacing w:after="40" w:before="40"/>
      </w:pPr>
      <w:r>
        <w:rPr>
          <w:rFonts w:ascii="Arial" w:cs="Arial" w:eastAsia="Arial" w:hAnsi="Arial"/>
          <w:b/>
          <w:bCs/>
          <w:sz w:val="22"/>
          <w:szCs w:val="22"/>
        </w:rPr>
        <w:t xml:space="preserve">Houston climate: </w:t>
      </w:r>
      <w:r>
        <w:rPr>
          <w:rFonts w:ascii="Arial" w:cs="Arial" w:eastAsia="Arial" w:hAnsi="Arial"/>
          <w:sz w:val="22"/>
          <w:szCs w:val="22"/>
        </w:rPr>
        <w:t xml:space="preserve">The summer cooling season is extended and intense relative to most other U.S. healthcare markets. Demand charge risk is highest June-September.</w:t>
      </w:r>
    </w:p>
    <w:p>
      <w:pPr>
        <w:pStyle w:val="ListParagraph"/>
        <w:numPr>
          <w:ilvl w:val="0"/>
          <w:numId w:val="2"/>
        </w:numPr>
        <w:spacing w:after="40" w:before="40"/>
      </w:pPr>
      <w:r>
        <w:rPr>
          <w:rFonts w:ascii="Arial" w:cs="Arial" w:eastAsia="Arial" w:hAnsi="Arial"/>
          <w:b/>
          <w:bCs/>
          <w:sz w:val="22"/>
          <w:szCs w:val="22"/>
        </w:rPr>
        <w:t xml:space="preserve">Growth-driven complexity: </w:t>
      </w:r>
      <w:r>
        <w:rPr>
          <w:rFonts w:ascii="Arial" w:cs="Arial" w:eastAsia="Arial" w:hAnsi="Arial"/>
          <w:sz w:val="22"/>
          <w:szCs w:val="22"/>
        </w:rPr>
        <w:t xml:space="preserve">Regular campus expansion means budget forecasting is complicated by new facility openings — a gap he identified as a weakness in Energy Print.</w:t>
      </w:r>
    </w:p>
    <w:p>
      <w:pPr>
        <w:pStyle w:val="ListParagraph"/>
        <w:numPr>
          <w:ilvl w:val="0"/>
          <w:numId w:val="2"/>
        </w:numPr>
        <w:spacing w:after="40" w:before="40"/>
      </w:pPr>
      <w:r>
        <w:rPr>
          <w:rFonts w:ascii="Arial" w:cs="Arial" w:eastAsia="Arial" w:hAnsi="Arial"/>
          <w:b/>
          <w:bCs/>
          <w:sz w:val="22"/>
          <w:szCs w:val="22"/>
        </w:rPr>
        <w:t xml:space="preserve">CenterPoint relationship: </w:t>
      </w:r>
      <w:r>
        <w:rPr>
          <w:rFonts w:ascii="Arial" w:cs="Arial" w:eastAsia="Arial" w:hAnsi="Arial"/>
          <w:sz w:val="22"/>
          <w:szCs w:val="22"/>
        </w:rPr>
        <w:t xml:space="preserve">Houston Methodist works with CenterPoint Energy as its primary utility. Sean noted calculation errors with CenterPoint have improved over time, though the broker Prism Energy provides oversight.</w:t>
      </w:r>
    </w:p>
    <w:p>
      <w:pPr>
        <w:pStyle w:val="Heading1"/>
      </w:pPr>
      <w:r>
        <w:rPr>
          <w:rFonts w:ascii="Arial" w:cs="Arial" w:eastAsia="Arial" w:hAnsi="Arial"/>
        </w:rPr>
        <w:t xml:space="preserve">5. Strategic Recommendations for Dan &amp; John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1: Study Energy Print as a Named Competitor in Houston / Texas Healthcare</w:t>
            </w:r>
          </w:p>
          <w:p>
            <w:pPr>
              <w:spacing w:after="0" w:before="0"/>
            </w:pPr>
            <w:r>
              <w:rPr>
                <w:rFonts w:ascii="Arial" w:cs="Arial" w:eastAsia="Arial" w:hAnsi="Arial"/>
                <w:sz w:val="21"/>
                <w:szCs w:val="21"/>
              </w:rPr>
              <w:t xml:space="preserve">Energy Print is Houston Methodist's current third-party energy analytics platform. Understanding its capabilities, pricing, and customer relationships in the Texas healthcare market is essential groundwork for any sales motion in this segment. Sean described specific gaps in forecasting and growth modeling — those gaps are the competitive opening.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2: Build Growth Modeling as a Forecasting Feature for Healthcare</w:t>
            </w:r>
          </w:p>
          <w:p>
            <w:pPr>
              <w:spacing w:after="0" w:before="0"/>
            </w:pPr>
            <w:r>
              <w:rPr>
                <w:rFonts w:ascii="Arial" w:cs="Arial" w:eastAsia="Arial" w:hAnsi="Arial"/>
                <w:sz w:val="21"/>
                <w:szCs w:val="21"/>
              </w:rPr>
              <w:t xml:space="preserve">Sean's clearest product gap is energy forecasting for a system that grows aggressively. 'What does our utility spend look like when we open a new 200,000 sq ft tower?' is a question no current platform can answer well. A scenario-based energy budget forecasting tool — one that accepts new building parameters and projects future utility spend — would be a direct response to a need Sean articulated clearly.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3: Confirm and Develop Power Factor Billing Detection</w:t>
            </w:r>
          </w:p>
          <w:p>
            <w:pPr>
              <w:spacing w:after="0" w:before="0"/>
            </w:pPr>
            <w:r>
              <w:rPr>
                <w:rFonts w:ascii="Arial" w:cs="Arial" w:eastAsia="Arial" w:hAnsi="Arial"/>
                <w:sz w:val="21"/>
                <w:szCs w:val="21"/>
              </w:rPr>
              <w:t xml:space="preserve">Sean is actively investigating what he suspects is a power factor meter malfunction at one of his campuses. Don Johnson identified power factor monitoring as his first unprompted feature request. If Clear Current's tariff analysis can flag power factor anomalies from billing data — not just alert on high charges but identify when the power factor reading itself looks metered incorrectly — that is a validated, healthcare-specific alert type.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4: Frame as a Billing Verification Layer on Top of Building Automation</w:t>
            </w:r>
          </w:p>
          <w:p>
            <w:pPr>
              <w:spacing w:after="0" w:before="0"/>
            </w:pPr>
            <w:r>
              <w:rPr>
                <w:rFonts w:ascii="Arial" w:cs="Arial" w:eastAsia="Arial" w:hAnsi="Arial"/>
                <w:sz w:val="21"/>
                <w:szCs w:val="21"/>
              </w:rPr>
              <w:t xml:space="preserve">Sean's hospital already has sophisticated BAS and demand management in place. The pitch here is not 'improve your energy operations' — it's 'verify that your utility is charging you correctly for the operations you're already managing.' The BAS optimizes; Clear Current confirms the bill reflects what the BAS actually did.</w:t>
            </w:r>
          </w:p>
        </w:tc>
      </w:tr>
    </w:tbl>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20" w:before="0"/>
      </w:pPr>
      <w:r>
        <w:rPr>
          <w:rFonts w:ascii="Arial" w:cs="Arial" w:eastAsia="Arial" w:hAnsi="Arial"/>
          <w:color w:val="444444"/>
          <w:sz w:val="20"/>
          <w:szCs w:val="20"/>
        </w:rPr>
        <w:t xml:space="preserve">Team: Clayton Hester, Adam Case, Jason Wisnieski, Victor Pan</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162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2026-04-14T22:27:16.936Z</dcterms:created>
  <dcterms:modified xsi:type="dcterms:W3CDTF">2026-04-14T22:27:16.936Z</dcterms:modified>
</cp:coreProperties>
</file>

<file path=docProps/custom.xml><?xml version="1.0" encoding="utf-8"?>
<Properties xmlns="http://schemas.openxmlformats.org/officeDocument/2006/custom-properties" xmlns:vt="http://schemas.openxmlformats.org/officeDocument/2006/docPropsVTypes"/>
</file>