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Troy Nevells | UT Austin — Utilities &amp; Energy Management</w:t>
      </w:r>
    </w:p>
    <w:p>
      <w:pPr>
        <w:spacing w:after="20" w:before="0"/>
        <w:jc w:val="center"/>
      </w:pPr>
      <w:r>
        <w:rPr>
          <w:rFonts w:ascii="Arial" w:cs="Arial" w:eastAsia="Arial" w:hAnsi="Arial"/>
          <w:color w:val="444444"/>
          <w:sz w:val="22"/>
          <w:szCs w:val="22"/>
        </w:rPr>
        <w:t xml:space="preserve">Director of Engineering &amp; Technical Services</w:t>
      </w:r>
    </w:p>
    <w:p>
      <w:pPr>
        <w:spacing w:after="200" w:before="0"/>
        <w:jc w:val="center"/>
      </w:pPr>
      <w:r>
        <w:rPr>
          <w:rFonts w:ascii="Arial" w:cs="Arial" w:eastAsia="Arial" w:hAnsi="Arial"/>
          <w:i/>
          <w:iCs/>
          <w:color w:val="777777"/>
          <w:sz w:val="20"/>
          <w:szCs w:val="20"/>
        </w:rPr>
        <w:t xml:space="preserve">Conducted by Clayton Hester  |  April 14,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Troy Nevells is the Director of Engineering and Technical Services within UT Austin's Utilities &amp; Energy Management (UEM) department, a role he has held for only seven months after joining from Yale University's power plant operations. He represents the engineering and operations complement to Andi Ault's finance-side interview earlier in this research program — together, they provide a complete dual-audience view of how UT Austin's UEM division manages one of the most complex campus energy systems in the country. Troy's interview is distinguished by his power generation engineering background (gas turbines, steam turbines, combined-cycle systems) and his perspective on where AI-powered energy management has genuine near-term applicability for district energy producers, as opposed to the utility purchasers who are Clear Current's primary target.</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Troy Nevells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Director of Engineering &amp; Technical Services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Department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Utilities &amp; Energy Management (UEM), UT Austin Campus Operations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Tenure at UT</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~7 months (joined from Yale University)</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Prior Roles</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Yale University — Power Plant Operations (responsible for monthly natural gas and electric bill review, utility meter reconciliation) | Frito-Lay — Sustainability Principal Engineer, Plano TX (supported all of Frito-Lay North America)</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Background</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Power generation engineer — gas turbines, steam turbines, combined cycle systems, district energy infrastructure</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Interview Context</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Warm introduction from Andi Ault (finance-side UT contact); serves as the engineering/operations complement to her financial perspective</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Interview Method</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Live call with Clayton Hester  |  April 14, 2026</w:t>
            </w:r>
          </w:p>
        </w:tc>
      </w:tr>
    </w:tbl>
    <w:p>
      <w:pPr>
        <w:spacing w:after="80" w:before="0"/>
      </w:pPr>
    </w:p>
    <w:p>
      <w:pPr>
        <w:spacing w:after="100" w:before="0"/>
      </w:pPr>
      <w:r>
        <w:rPr>
          <w:rFonts w:ascii="Arial" w:cs="Arial" w:eastAsia="Arial" w:hAnsi="Arial"/>
          <w:sz w:val="22"/>
          <w:szCs w:val="22"/>
        </w:rPr>
        <w:t xml:space="preserve">Troy is an engineer by training and career orientation. His perspective on energy management is production-side: how utilities are generated, distributed, and optimized within a centralized plant — not how bills are received, processed, and audited. His prior role at Yale included bill reconciliation, which gives him a practical reference point for the billing intelligence use case, even though UT Austin's district energy model means external utility invoices are relatively limited.</w:t>
      </w:r>
    </w:p>
    <w:p>
      <w:pPr>
        <w:pStyle w:val="Heading1"/>
      </w:pPr>
      <w:r>
        <w:rPr>
          <w:rFonts w:ascii="Arial" w:cs="Arial" w:eastAsia="Arial" w:hAnsi="Arial"/>
        </w:rPr>
        <w:t xml:space="preserve">2. UT Austin — Energy Infrastructure Overview</w:t>
      </w:r>
    </w:p>
    <w:p>
      <w:pPr>
        <w:spacing w:after="100" w:before="0"/>
      </w:pPr>
      <w:r>
        <w:rPr>
          <w:rFonts w:ascii="Arial" w:cs="Arial" w:eastAsia="Arial" w:hAnsi="Arial"/>
          <w:sz w:val="22"/>
          <w:szCs w:val="22"/>
        </w:rPr>
        <w:t xml:space="preserve">UT Austin's energy system is substantially more self-sufficient than any other institution interviewed in this research program, including Texas State, BSMH, and the hospital systems. Understanding its structure is essential context for interpreting Troy's perspective.</w:t>
      </w:r>
    </w:p>
    <w:p>
      <w:pPr>
        <w:pStyle w:val="ListParagraph"/>
        <w:numPr>
          <w:ilvl w:val="0"/>
          <w:numId w:val="2"/>
        </w:numPr>
        <w:spacing w:after="40" w:before="40"/>
      </w:pPr>
      <w:r>
        <w:rPr>
          <w:rFonts w:ascii="Arial" w:cs="Arial" w:eastAsia="Arial" w:hAnsi="Arial"/>
          <w:b/>
          <w:bCs/>
          <w:sz w:val="22"/>
          <w:szCs w:val="22"/>
        </w:rPr>
        <w:t xml:space="preserve">Combined cycle production: </w:t>
      </w:r>
      <w:r>
        <w:rPr>
          <w:rFonts w:ascii="Arial" w:cs="Arial" w:eastAsia="Arial" w:hAnsi="Arial"/>
          <w:sz w:val="22"/>
          <w:szCs w:val="22"/>
        </w:rPr>
        <w:t xml:space="preserve">Two gas turbines produce electricity by burning natural gas. Waste heat from those turbines feeds a heat recovery steam generator (HRSG), producing 'free' steam. That steam drives additional steam turbines, generating more electricity. Steam is also extracted mid-turbine for campus distribution at 165 PSI.</w:t>
      </w:r>
    </w:p>
    <w:p>
      <w:pPr>
        <w:pStyle w:val="ListParagraph"/>
        <w:numPr>
          <w:ilvl w:val="0"/>
          <w:numId w:val="2"/>
        </w:numPr>
        <w:spacing w:after="40" w:before="40"/>
      </w:pPr>
      <w:r>
        <w:rPr>
          <w:rFonts w:ascii="Arial" w:cs="Arial" w:eastAsia="Arial" w:hAnsi="Arial"/>
          <w:b/>
          <w:bCs/>
          <w:sz w:val="22"/>
          <w:szCs w:val="22"/>
        </w:rPr>
        <w:t xml:space="preserve">Generation capacity: </w:t>
      </w:r>
      <w:r>
        <w:rPr>
          <w:rFonts w:ascii="Arial" w:cs="Arial" w:eastAsia="Arial" w:hAnsi="Arial"/>
          <w:sz w:val="22"/>
          <w:szCs w:val="22"/>
        </w:rPr>
        <w:t xml:space="preserve">UT produces approximately 100% of its own electricity on the main campus via this combined cycle process, with ~60 MW total capacity. Peak load is ~40 MW this time of year, rising to the summer peak when electrical chillers are running.</w:t>
      </w:r>
    </w:p>
    <w:p>
      <w:pPr>
        <w:pStyle w:val="ListParagraph"/>
        <w:numPr>
          <w:ilvl w:val="0"/>
          <w:numId w:val="2"/>
        </w:numPr>
        <w:spacing w:after="40" w:before="40"/>
      </w:pPr>
      <w:r>
        <w:rPr>
          <w:rFonts w:ascii="Arial" w:cs="Arial" w:eastAsia="Arial" w:hAnsi="Arial"/>
          <w:b/>
          <w:bCs/>
          <w:sz w:val="22"/>
          <w:szCs w:val="22"/>
        </w:rPr>
        <w:t xml:space="preserve">Resiliency and islanding: </w:t>
      </w:r>
      <w:r>
        <w:rPr>
          <w:rFonts w:ascii="Arial" w:cs="Arial" w:eastAsia="Arial" w:hAnsi="Arial"/>
          <w:sz w:val="22"/>
          <w:szCs w:val="22"/>
        </w:rPr>
        <w:t xml:space="preserve">UT can island the campus — disconnect from the Austin Energy grid and run entirely on its own generation. This is a core operating capability.</w:t>
      </w:r>
    </w:p>
    <w:p>
      <w:pPr>
        <w:pStyle w:val="ListParagraph"/>
        <w:numPr>
          <w:ilvl w:val="0"/>
          <w:numId w:val="2"/>
        </w:numPr>
        <w:spacing w:after="40" w:before="40"/>
      </w:pPr>
      <w:r>
        <w:rPr>
          <w:rFonts w:ascii="Arial" w:cs="Arial" w:eastAsia="Arial" w:hAnsi="Arial"/>
          <w:b/>
          <w:bCs/>
          <w:sz w:val="22"/>
          <w:szCs w:val="22"/>
        </w:rPr>
        <w:t xml:space="preserve">Chill water system: </w:t>
      </w:r>
      <w:r>
        <w:rPr>
          <w:rFonts w:ascii="Arial" w:cs="Arial" w:eastAsia="Arial" w:hAnsi="Arial"/>
          <w:sz w:val="22"/>
          <w:szCs w:val="22"/>
        </w:rPr>
        <w:t xml:space="preserve">60,000 tons of chilled water generation capacity; peak load ~35,000 tons. The chill water system is the largest internal energy consumer on campus. Third-party optimizer: Optimum (used for about 10 years).</w:t>
      </w:r>
    </w:p>
    <w:p>
      <w:pPr>
        <w:pStyle w:val="ListParagraph"/>
        <w:numPr>
          <w:ilvl w:val="0"/>
          <w:numId w:val="2"/>
        </w:numPr>
        <w:spacing w:after="40" w:before="40"/>
      </w:pPr>
      <w:r>
        <w:rPr>
          <w:rFonts w:ascii="Arial" w:cs="Arial" w:eastAsia="Arial" w:hAnsi="Arial"/>
          <w:b/>
          <w:bCs/>
          <w:sz w:val="22"/>
          <w:szCs w:val="22"/>
        </w:rPr>
        <w:t xml:space="preserve">External utility relationships: </w:t>
      </w:r>
      <w:r>
        <w:rPr>
          <w:rFonts w:ascii="Arial" w:cs="Arial" w:eastAsia="Arial" w:hAnsi="Arial"/>
          <w:sz w:val="22"/>
          <w:szCs w:val="22"/>
        </w:rPr>
        <w:t xml:space="preserve">Austin Energy provides a grid interconnect and charges a capacity charge for standby availability. UT's natural gas bills come from Texas Gas Service or equivalent. Monthly reconciliation is done between UT's internal meters and the utility provider meters.</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District Energy Systems: Different Use Case for AI Billing Intelligence</w:t>
      </w:r>
    </w:p>
    <w:p>
      <w:pPr>
        <w:spacing w:after="100" w:before="0"/>
      </w:pPr>
      <w:r>
        <w:rPr>
          <w:rFonts w:ascii="Arial" w:cs="Arial" w:eastAsia="Arial" w:hAnsi="Arial"/>
          <w:sz w:val="22"/>
          <w:szCs w:val="22"/>
        </w:rPr>
        <w:t xml:space="preserve">Troy was candid and direct: UT Austin's structure — producing nearly all of its own energy — means an AI billing intelligence platform focused on utility invoice analysis would have limited direct applicability in the short term. His primary billing touchpoints are natural gas invoices and electric import charges, not the tens of thousands of utility bills that multi-site commercial operators deal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"Yeah, I mean, if the University of Texas didn't have a district energy system and they had 25 buildings each with a utility meter, a water meter, an electrical meter, a natural gas meter — I can imagine that something like this would be very beneficial."</w:t>
            </w:r>
          </w:p>
        </w:tc>
      </w:tr>
    </w:tbl>
    <w:p>
      <w:pPr>
        <w:spacing w:after="100" w:before="0"/>
      </w:pPr>
      <w:r>
        <w:rPr>
          <w:rFonts w:ascii="Arial" w:cs="Arial" w:eastAsia="Arial" w:hAnsi="Arial"/>
          <w:sz w:val="22"/>
          <w:szCs w:val="22"/>
        </w:rPr>
        <w:t xml:space="preserve">He immediately identified who would benefit most: manufacturing companies with multiple electric meters per facility, large retail chains, quick-service restaurant operators. He specifically referenced Panda Restaurants by name as a prototypical use case — and mentioned Frito-Lay from his own prior experience, noting that supporting all of Frito-Lay North America with multiple meters per plant was a context where billing intelligence would have been directly valuable.</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Troy's response is the clearest articulation in this research program of the market segmentation by customer type. District energy producers (large universities, hospital campuses that generate their own utilities) are secondary customers at best. The primary market is the utility purchaser with many meters across many locations — the QSR operator, the retailer, the manufacturer, the multi-site healthcare system that buys rather than produces energy.</w:t>
      </w:r>
    </w:p>
    <w:p>
      <w:pPr>
        <w:pStyle w:val="Heading2"/>
      </w:pPr>
      <w:r>
        <w:rPr>
          <w:rFonts w:ascii="Arial" w:cs="Arial" w:eastAsia="Arial" w:hAnsi="Arial"/>
        </w:rPr>
        <w:t xml:space="preserve">3.2 Yale Experience: Hands-On Bill Reconciliation</w:t>
      </w:r>
    </w:p>
    <w:p>
      <w:pPr>
        <w:spacing w:after="100" w:before="0"/>
      </w:pPr>
      <w:r>
        <w:rPr>
          <w:rFonts w:ascii="Arial" w:cs="Arial" w:eastAsia="Arial" w:hAnsi="Arial"/>
          <w:sz w:val="22"/>
          <w:szCs w:val="22"/>
        </w:rPr>
        <w:t xml:space="preserve">Troy's prior role at Yale gives him direct first-person experience with the billing review process that Clear Current is designed to automate. At Yale, he was personally responsible for scrubbing monthly natural gas bills and electric import bills, and for reconciling UT's (or Yale's) internal production meters against the utility provider's 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 was responsible there to scrub through the monthly natural gas bills and the monthly electric bills... we compare our natural gas bills compared to Texas gas billing, and then we're comparing Austin Energy's bills to our internal UEM electric meters as well."</w:t>
            </w:r>
          </w:p>
        </w:tc>
      </w:tr>
    </w:tbl>
    <w:p>
      <w:pPr>
        <w:spacing w:after="100" w:before="0"/>
      </w:pPr>
      <w:r>
        <w:rPr>
          <w:rFonts w:ascii="Arial" w:cs="Arial" w:eastAsia="Arial" w:hAnsi="Arial"/>
          <w:sz w:val="22"/>
          <w:szCs w:val="22"/>
        </w:rPr>
        <w:t xml:space="preserve">He confirmed this reconciliation work is ongoing at UT Austin: the operations team compares utility provider meters to internal UEM meters monthly, looking for discrepancies.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meter reconciliation workflow — utility meter vs. internal meter, side by side, monthly — is a specific, documented process that Clear Current's platform could automate or accelerate. For district energy producers who do purchase some external electricity or natural gas, the reconciliation audit is the relevant use case, not broad multi-meter anomaly detection. Clear Current should have a clear articulation of how the platform handles dual-meter environments.</w:t>
      </w:r>
    </w:p>
    <w:p>
      <w:pPr>
        <w:pStyle w:val="Heading2"/>
      </w:pPr>
      <w:r>
        <w:rPr>
          <w:rFonts w:ascii="Arial" w:cs="Arial" w:eastAsia="Arial" w:hAnsi="Arial"/>
        </w:rPr>
        <w:t xml:space="preserve">3.3 Where Troy Does See AI Value — Smart Grid and Demand Response</w:t>
      </w:r>
    </w:p>
    <w:p>
      <w:pPr>
        <w:spacing w:after="100" w:before="0"/>
      </w:pPr>
      <w:r>
        <w:rPr>
          <w:rFonts w:ascii="Arial" w:cs="Arial" w:eastAsia="Arial" w:hAnsi="Arial"/>
          <w:sz w:val="22"/>
          <w:szCs w:val="22"/>
        </w:rPr>
        <w:t xml:space="preserve">Troy's most engaged and expansive response was around grid complexity: the challenge of managing multiple generation technologies (solar, wind, natural gas, battery storage, nuclear) on a single grid, all with different variability profiles. He described this as the space where AI has the clearest near-term value — not in billing, but in grid management and demand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"If you had all these mixes of technologies between solar and wind and battery and natural gas or other type technologies — that managing your assets and the variability in the assets, I can imagine AI would definitely help on that front."</w:t>
            </w:r>
          </w:p>
        </w:tc>
      </w:tr>
    </w:tbl>
    <w:p>
      <w:pPr>
        <w:spacing w:after="100" w:before="0"/>
      </w:pPr>
      <w:r>
        <w:rPr>
          <w:rFonts w:ascii="Arial" w:cs="Arial" w:eastAsia="Arial" w:hAnsi="Arial"/>
          <w:sz w:val="22"/>
          <w:szCs w:val="22"/>
        </w:rPr>
        <w:t xml:space="preserve">He also described UT Austin's existing demand response capability: when generation assets trip, the campus can automatically shed load from non-critical buildings to protect critical systems. However, this is currently done in large, crude chunks — shutting off entire buildings rather than specific loads. He envisioned AI enabling granular, prioritized load shedding: shutting off air conditioning in residential dorms before research labs, or individual equipment within buildings before entire floors.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demand response optimization use case is outside Clear Current's current scope but is a genuinely valuable insight for product roadmap conversations with John and Dan. The ability to interface with building automation systems to enable intelligent load shedding during grid stress events is a capability that large district energy producers would find compelling. It is also adjacent to the regulatory intelligence feature Phil Combs described — if Clear Current monitors ERCOT dispatch signals alongside billing data, it could alert university energy teams to upcoming grid events that will affect their production decisions.</w:t>
      </w:r>
    </w:p>
    <w:p>
      <w:pPr>
        <w:pStyle w:val="Heading2"/>
      </w:pPr>
      <w:r>
        <w:rPr>
          <w:rFonts w:ascii="Arial" w:cs="Arial" w:eastAsia="Arial" w:hAnsi="Arial"/>
        </w:rPr>
        <w:t xml:space="preserve">3.4 Weather-Correlated Forecasting — A Neighboring UT Student Project</w:t>
      </w:r>
    </w:p>
    <w:p>
      <w:pPr>
        <w:spacing w:after="100" w:before="0"/>
      </w:pPr>
      <w:r>
        <w:rPr>
          <w:rFonts w:ascii="Arial" w:cs="Arial" w:eastAsia="Arial" w:hAnsi="Arial"/>
          <w:sz w:val="22"/>
          <w:szCs w:val="22"/>
        </w:rPr>
        <w:t xml:space="preserve">Troy mentioned in passing that UT Austin is already working with a student-formed company ('Texas Energy Consultants') that is building an AI model to forecast campus energy load one week in advance, using weather forecasts as the primary input variable. This project is presenting its findings the following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"They're using AI and they are trying to help us forecast using the outside temperatures and humidities and trying to help us forecast like one week in advance what our load should be based on a forecasted outlook on temperature."</w:t>
            </w:r>
          </w:p>
        </w:tc>
      </w:tr>
    </w:tbl>
    <w:p>
      <w:pPr>
        <w:spacing w:after="100" w:before="0"/>
      </w:pPr>
      <w:r>
        <w:rPr>
          <w:rFonts w:ascii="Arial" w:cs="Arial" w:eastAsia="Arial" w:hAnsi="Arial"/>
          <w:sz w:val="22"/>
          <w:szCs w:val="22"/>
        </w:rPr>
        <w:t xml:space="preserve">He connected this directly to the billing intelligence concept: if a platform could integrate weather-correlated load forecasting with billing data, it could distinguish between anomalies caused by weather events versus equipment failures versus billing errors — making the anomaly detection far more precise.</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weather-correlated anomaly detection is a feature Phil Combs also described from the M&amp;V engineering perspective: isolating the weather variable to understand whether energy changes are driven by climate, operations, or billing. It is not a current Clear Current capability but has now been validated by two different types of interviewees — an M&amp;V engineer and a district energy director — as a meaningful upgrade to basic anomaly detection.</w:t>
      </w:r>
    </w:p>
    <w:p>
      <w:pPr>
        <w:pStyle w:val="Heading2"/>
      </w:pPr>
      <w:r>
        <w:rPr>
          <w:rFonts w:ascii="Arial" w:cs="Arial" w:eastAsia="Arial" w:hAnsi="Arial"/>
        </w:rPr>
        <w:t xml:space="preserve">3.5 Carbon Taxation and Regulatory Complexity as a Growing Factor</w:t>
      </w:r>
    </w:p>
    <w:p>
      <w:pPr>
        <w:spacing w:after="100" w:before="0"/>
      </w:pPr>
      <w:r>
        <w:rPr>
          <w:rFonts w:ascii="Arial" w:cs="Arial" w:eastAsia="Arial" w:hAnsi="Arial"/>
          <w:sz w:val="22"/>
          <w:szCs w:val="22"/>
        </w:rPr>
        <w:t xml:space="preserve">Troy raised carbon taxation in the context of northeastern states (New York, Massachusetts) that have instituted carbon pricing linked to natural gas consumption. He noted that for customers subject to these regimes, the billing complexity increases significantly — carbon charges are now tied to natural gas billing, adding another layer of potential error and another type of tariff that requires interpretation.</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an early-stage regulatory intelligence use case that Phil Combs and Andi Ault also touched on from different angles. Carbon-linked billing surcharges in regulated states are complex, variable, and not well-understood by most customers. If Clear Current's tariff engine can identify and explain carbon charge components on utility bills, that is a differentiated capability for customers in northeastern states — and will become increasingly relevant as carbon pricing expands.</w:t>
      </w:r>
    </w:p>
    <w:p>
      <w:pPr>
        <w:pStyle w:val="Heading1"/>
      </w:pPr>
      <w:r>
        <w:rPr>
          <w:rFonts w:ascii="Arial" w:cs="Arial" w:eastAsia="Arial" w:hAnsi="Arial"/>
        </w:rPr>
        <w:t xml:space="preserve">4.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Use UT Austin as a District Energy Reference Case — Not a Target Customer</w:t>
            </w:r>
          </w:p>
          <w:p>
            <w:pPr>
              <w:spacing w:after="0" w:before="0"/>
            </w:pPr>
            <w:r>
              <w:rPr>
                <w:rFonts w:ascii="Arial" w:cs="Arial" w:eastAsia="Arial" w:hAnsi="Arial"/>
                <w:sz w:val="21"/>
                <w:szCs w:val="21"/>
              </w:rPr>
              <w:t xml:space="preserve">Troy's analysis was clear and honest: UT Austin is not the primary customer for an AI billing intelligence platform. The district energy structure limits the external bill volume. However, UT Austin's articulation of who would benefit — multi-site purchasers like Panda, large manufacturers like Frito-Lay, retailers — is a strong endorsement of Clear Current's target market from a credible institutional source. That reference is valuable even if UT Austin is not a direct buyer.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Build a Meter Reconciliation Feature for District Energy Producers</w:t>
            </w:r>
          </w:p>
          <w:p>
            <w:pPr>
              <w:spacing w:after="0" w:before="0"/>
            </w:pPr>
            <w:r>
              <w:rPr>
                <w:rFonts w:ascii="Arial" w:cs="Arial" w:eastAsia="Arial" w:hAnsi="Arial"/>
                <w:sz w:val="21"/>
                <w:szCs w:val="21"/>
              </w:rPr>
              <w:t xml:space="preserve">Even self-generating institutions like UT Austin have external utility bills — natural gas, standby electric, water. Troy described doing monthly reconciliation between utility meters and internal production meters manually. A platform that automates this reconciliation and flags discrepancies would be useful even for district energy producers, and represents a low-complexity, high-credibility entry point into the university and hospital campus market.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Consider Weather-Correlated Anomaly Detection as a Product Roadmap Item</w:t>
            </w:r>
          </w:p>
          <w:p>
            <w:pPr>
              <w:spacing w:after="0" w:before="0"/>
            </w:pPr>
            <w:r>
              <w:rPr>
                <w:rFonts w:ascii="Arial" w:cs="Arial" w:eastAsia="Arial" w:hAnsi="Arial"/>
                <w:sz w:val="21"/>
                <w:szCs w:val="21"/>
              </w:rPr>
              <w:t xml:space="preserve">Troy described UT Austin's student project building weather-to-load correlation forecasting. Phil Combs described regression against weather as the core methodology in M&amp;V engineering. Integrating weather correlation into Clear Current's anomaly detection — so the system can distinguish weather-driven consumption changes from billing errors or equipment issues — would move the product from basic spike detection to statistically meaningful anomaly identification. This is a meaningful product upgrade backed by multiple expert perspectives.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Monitor Carbon Charge Complexity as a Future Regulatory Feature</w:t>
            </w:r>
          </w:p>
          <w:p>
            <w:pPr>
              <w:spacing w:after="0" w:before="0"/>
            </w:pPr>
            <w:r>
              <w:rPr>
                <w:rFonts w:ascii="Arial" w:cs="Arial" w:eastAsia="Arial" w:hAnsi="Arial"/>
                <w:sz w:val="21"/>
                <w:szCs w:val="21"/>
              </w:rPr>
              <w:t xml:space="preserve">Troy flagged carbon taxation linked to natural gas billing in northeastern states as an emerging billing complexity layer. As carbon pricing expands, customers who cannot interpret their own carbon charge components will need a platform that can explain them. Clear Current's tariff analysis should be designed to identify and explain these charges when they appear, positioning the platform as a regulatory intelligence resource beyond just error detection.</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2026-04-14T22:27:17.011Z</dcterms:created>
  <dcterms:modified xsi:type="dcterms:W3CDTF">2026-04-14T22:27:17.011Z</dcterms:modified>
</cp:coreProperties>
</file>

<file path=docProps/custom.xml><?xml version="1.0" encoding="utf-8"?>
<Properties xmlns="http://schemas.openxmlformats.org/officeDocument/2006/custom-properties" xmlns:vt="http://schemas.openxmlformats.org/officeDocument/2006/docPropsVTypes"/>
</file>