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A1628"/>
          <w:sz w:val="36"/>
          <w:szCs w:val="36"/>
        </w:rPr>
        <w:t xml:space="preserve">Interview Summary</w:t>
      </w:r>
    </w:p>
    <w:p>
      <w:pPr>
        <w:spacing w:after="60"/>
      </w:pPr>
      <w:r>
        <w:rPr>
          <w:rFonts w:ascii="Arial" w:cs="Arial" w:eastAsia="Arial" w:hAnsi="Arial"/>
          <w:b/>
          <w:bCs/>
          <w:color w:val="0A1628"/>
          <w:sz w:val="28"/>
          <w:szCs w:val="28"/>
        </w:rPr>
        <w:t xml:space="preserve">Walt Taylor  |  Panda Restaurant Group</w:t>
      </w:r>
    </w:p>
    <w:p>
      <w:pPr>
        <w:spacing w:after="60"/>
      </w:pPr>
      <w:r>
        <w:rPr>
          <w:rFonts w:ascii="Arial" w:cs="Arial" w:eastAsia="Arial" w:hAnsi="Arial"/>
          <w:color w:val="555555"/>
          <w:sz w:val="22"/>
          <w:szCs w:val="22"/>
        </w:rPr>
        <w:t xml:space="preserve">Energy Manager (Contractor)</w:t>
      </w:r>
    </w:p>
    <w:p>
      <w:pPr>
        <w:spacing w:after="240"/>
      </w:pPr>
      <w:r>
        <w:rPr>
          <w:rFonts w:ascii="Arial" w:cs="Arial" w:eastAsia="Arial" w:hAnsi="Arial"/>
          <w:color w:val="555555"/>
          <w:sz w:val="20"/>
          <w:szCs w:val="20"/>
        </w:rPr>
        <w:t xml:space="preserve">Conducted by Clayton Hester  |  April 16,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1628" w:val="clear"/>
            <w:tcMar>
              <w:top w:type="dxa" w:w="160"/>
              <w:left w:type="dxa" w:w="200"/>
              <w:bottom w:type="dxa" w:w="160"/>
              <w:right w:type="dxa" w:w="200"/>
            </w:tcMar>
          </w:tcPr>
          <w:p>
            <w:r>
              <w:rPr>
                <w:rFonts w:ascii="Arial" w:cs="Arial" w:eastAsia="Arial" w:hAnsi="Arial"/>
                <w:b/>
                <w:bCs/>
                <w:color w:val="F5C518"/>
                <w:sz w:val="22"/>
                <w:szCs w:val="22"/>
              </w:rPr>
              <w:t xml:space="preserve">Why This Interview Matters</w:t>
            </w:r>
          </w:p>
          <w:p>
            <w:pPr>
              <w:spacing w:before="80"/>
            </w:pPr>
            <w:r>
              <w:rPr>
                <w:rFonts w:ascii="Arial" w:cs="Arial" w:eastAsia="Arial" w:hAnsi="Arial"/>
                <w:color w:val="FFFFFF"/>
                <w:sz w:val="19"/>
                <w:szCs w:val="19"/>
              </w:rPr>
              <w:t xml:space="preserve">Walt Taylor is one of the most operationally grounded voices in this entire research program. As the energy manager overseeing approximately 2,300 Panda Restaurant Group locations, he sits at the intersection of large-scale multi-site bill management, EMS technology rollout, and hands-on utility dispute experience. He is a 25-year restaurant energy veteran who has worked both the in-house client side (at Panda and other QSR brands) and the consulting side through his own firm, GWT2Energy. This interview produced three findings that no other interview surfaced: (1) direct confirmation that ENGIE Impact uses Arcadia to aggregate electronic utility bill data, (2) a detailed articulation of why AI billing tools struggle at enterprise scale and where they do work, and (3) a new structural overbilling category — sewer charges based on water intake rather than actual discharge — that is systematic, untracked, and effectively un-contestable under current utility norms.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392B" w:sz="6"/>
              <w:left w:val="single" w:color="C0392B" w:sz="6"/>
              <w:bottom w:val="single" w:color="C0392B" w:sz="6"/>
              <w:right w:val="single" w:color="C0392B" w:sz="6"/>
            </w:tcBorders>
            <w:shd w:fill="FEE9E7" w:val="clear"/>
            <w:tcMar>
              <w:top w:type="dxa" w:w="140"/>
              <w:left w:type="dxa" w:w="180"/>
              <w:bottom w:type="dxa" w:w="140"/>
              <w:right w:type="dxa" w:w="180"/>
            </w:tcMar>
          </w:tcPr>
          <w:p>
            <w:r>
              <w:rPr>
                <w:rFonts w:ascii="Arial" w:cs="Arial" w:eastAsia="Arial" w:hAnsi="Arial"/>
                <w:b/>
                <w:bCs/>
                <w:color w:val="C0392B"/>
                <w:sz w:val="22"/>
                <w:szCs w:val="22"/>
              </w:rPr>
              <w:t xml:space="preserve">⚠  COMPETITIVE INTELLIGENCE ALERT — READ FIRST</w:t>
            </w:r>
          </w:p>
          <w:p>
            <w:pPr>
              <w:spacing w:before="80"/>
            </w:pPr>
            <w:r>
              <w:rPr>
                <w:rFonts w:ascii="Arial" w:cs="Arial" w:eastAsia="Arial" w:hAnsi="Arial"/>
                <w:color w:val="333333"/>
                <w:sz w:val="19"/>
                <w:szCs w:val="19"/>
              </w:rPr>
              <w:t xml:space="preserve">Walt Taylor confirmed on the record that ENGIE Impact uses Arcadia to aggregate electronic utility bill data, and relies on OCR for paper bills. This was not in our prior research design. It was independently confirmed by Arcadia’s own technical documentation, which explicitly treats ENGIE Insight as a known third-party indirect data source in its integration architecture. This means: (1) ENGIE’s data backbone is Arcadia, not proprietary, (2) ENGIE’s paper bill coverage remains OCR-dependent, and (3) the most direct route to undercutting ENGIE is to go directly to Arcadia’s data layer — or to outperform OCR on paper bills. Walt’s unprompted observation that ENGIE should simply “bolt on” a large language model rather than allow a competitor to do it is equally important: he is telling us that the threat is visible from inside the customer base.</w:t>
            </w:r>
          </w:p>
        </w:tc>
      </w:tr>
    </w:tbl>
    <w:p>
      <w:pPr>
        <w:spacing w:after="200"/>
      </w:pPr>
    </w:p>
    <w:p>
      <w:pPr>
        <w:spacing w:after="120" w:before="300"/>
      </w:pPr>
      <w:r>
        <w:rPr>
          <w:rFonts w:ascii="Arial" w:cs="Arial" w:eastAsia="Arial" w:hAnsi="Arial"/>
          <w:b/>
          <w:bCs/>
          <w:color w:val="0A1628"/>
          <w:sz w:val="26"/>
          <w:szCs w:val="26"/>
        </w:rPr>
        <w:t xml:space="preserve">1. Interviewee Profile</w:t>
      </w:r>
    </w:p>
    <w:p>
      <w:pPr>
        <w:pBdr>
          <w:bottom w:val="single" w:color="0A1628" w:sz="4" w:space="1"/>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Name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Walt Taylor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Title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Energy Manager (Contractor)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Company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Panda Restaurant Group</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Email</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walt.taylor@pandarg.com</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Location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Rosemead, California (HQ)</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Contractor, not full-time employee. Also founder/owner of GWT2Energy, an independent restaurant energy consulting firm.</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Career Background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 years in restaurant energy management. Prior client-side roles at national QSR brands including Panda Express, Red Robin, and Taco Bell. Also led energy advisory at E4E Solutions. Runs GWT2Energy as a parallel consulting practice serving smaller franchisees.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Scope at Panda</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Oversees energy management across approximately 2,300 Panda Express locations across the U.S., Puerto Rico, and international markets.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Interview Method</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Zoom call with Clayton Hester | April 16, 2026 | 44 minutes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LinkedIn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linkedin.com/in/walttaylor/</w:t>
            </w:r>
          </w:p>
        </w:tc>
      </w:tr>
    </w:tbl>
    <w:p>
      <w:pPr>
        <w:spacing w:after="160"/>
      </w:pPr>
    </w:p>
    <w:p>
      <w:pPr>
        <w:spacing w:after="120"/>
      </w:pPr>
      <w:r>
        <w:rPr>
          <w:rFonts w:ascii="Arial" w:cs="Arial" w:eastAsia="Arial" w:hAnsi="Arial"/>
          <w:b w:val="false"/>
          <w:bCs w:val="false"/>
          <w:sz w:val="20"/>
          <w:szCs w:val="20"/>
        </w:rPr>
        <w:t xml:space="preserve">Walt’s interview classification as “Contractor” in the Otter.ai transcript is consistent with his background: he runs his own energy consulting firm, GWT2Energy, and engages with Panda in an advisory capacity rather than as a corporate employee. This gives him unusual candor relative to in-house staff, and his perspective reflects both the Panda operational reality and the broader QSR energy landscape he serves through GWT2Energy.</w:t>
      </w:r>
    </w:p>
    <w:p>
      <w:pPr>
        <w:spacing w:after="120"/>
      </w:pPr>
      <w:r>
        <w:rPr>
          <w:rFonts w:ascii="Arial" w:cs="Arial" w:eastAsia="Arial" w:hAnsi="Arial"/>
          <w:b w:val="false"/>
          <w:bCs w:val="false"/>
          <w:sz w:val="20"/>
          <w:szCs w:val="20"/>
        </w:rPr>
        <w:t xml:space="preserve">He is one of the few interviewees in this research program with hands-on experience getting a utility rate changed through a state Public Service Commission, which he accomplished by making a quantitative case that the utility’s calculation methodology was inequitable.</w:t>
      </w:r>
    </w:p>
    <w:p>
      <w:pPr>
        <w:spacing w:after="200"/>
      </w:pPr>
    </w:p>
    <w:p>
      <w:pPr>
        <w:spacing w:after="120" w:before="300"/>
      </w:pPr>
      <w:r>
        <w:rPr>
          <w:rFonts w:ascii="Arial" w:cs="Arial" w:eastAsia="Arial" w:hAnsi="Arial"/>
          <w:b/>
          <w:bCs/>
          <w:color w:val="0A1628"/>
          <w:sz w:val="26"/>
          <w:szCs w:val="26"/>
        </w:rPr>
        <w:t xml:space="preserve">2. Panda Restaurant Group — Energy Operations Overview</w:t>
      </w:r>
    </w:p>
    <w:p>
      <w:pPr>
        <w:pBdr>
          <w:bottom w:val="single" w:color="0A1628" w:sz="4" w:space="1"/>
        </w:pBdr>
        <w:spacing w:after="160"/>
      </w:pPr>
    </w:p>
    <w:p>
      <w:pPr>
        <w:spacing w:after="80" w:before="200"/>
      </w:pPr>
      <w:r>
        <w:rPr>
          <w:rFonts w:ascii="Arial" w:cs="Arial" w:eastAsia="Arial" w:hAnsi="Arial"/>
          <w:b/>
          <w:bCs/>
          <w:color w:val="333333"/>
          <w:sz w:val="22"/>
          <w:szCs w:val="22"/>
        </w:rPr>
        <w:t xml:space="preserve">2.1 Current System Architecture</w:t>
      </w:r>
    </w:p>
    <w:p>
      <w:pPr>
        <w:spacing w:after="120"/>
      </w:pPr>
      <w:r>
        <w:rPr>
          <w:rFonts w:ascii="Arial" w:cs="Arial" w:eastAsia="Arial" w:hAnsi="Arial"/>
          <w:b w:val="false"/>
          <w:bCs w:val="false"/>
          <w:sz w:val="20"/>
          <w:szCs w:val="20"/>
        </w:rPr>
        <w:t xml:space="preserve">Panda manages energy across approximately 2,300 locations using a hybrid model:</w:t>
      </w:r>
    </w:p>
    <w:p>
      <w:pPr>
        <w:pStyle w:val="ListParagraph"/>
        <w:numPr>
          <w:ilvl w:val="0"/>
          <w:numId w:val="2"/>
        </w:numPr>
        <w:spacing w:after="80"/>
      </w:pPr>
      <w:r>
        <w:rPr>
          <w:rFonts w:ascii="Arial" w:cs="Arial" w:eastAsia="Arial" w:hAnsi="Arial"/>
          <w:sz w:val="20"/>
          <w:szCs w:val="20"/>
        </w:rPr>
        <w:t xml:space="preserve">ENGIE Impact (referred to as “NG” throughout the interview) reviews all utility bills and flags outliers in usage or cost. Panda does not review bills line by line themselves.</w:t>
      </w:r>
    </w:p>
    <w:p>
      <w:pPr>
        <w:pStyle w:val="ListParagraph"/>
        <w:numPr>
          <w:ilvl w:val="0"/>
          <w:numId w:val="2"/>
        </w:numPr>
        <w:spacing w:after="80"/>
      </w:pPr>
      <w:r>
        <w:rPr>
          <w:rFonts w:ascii="Arial" w:cs="Arial" w:eastAsia="Arial" w:hAnsi="Arial"/>
          <w:sz w:val="20"/>
          <w:szCs w:val="20"/>
        </w:rPr>
        <w:t xml:space="preserve">Energy Management Systems (EMS) are actively being rolled out across the portfolio to remotely monitor and control HVAC thermostats, parking lot lighting, and exterior lighting.</w:t>
      </w:r>
    </w:p>
    <w:p>
      <w:pPr>
        <w:pStyle w:val="ListParagraph"/>
        <w:numPr>
          <w:ilvl w:val="0"/>
          <w:numId w:val="2"/>
        </w:numPr>
        <w:spacing w:after="80"/>
      </w:pPr>
      <w:r>
        <w:rPr>
          <w:rFonts w:ascii="Arial" w:cs="Arial" w:eastAsia="Arial" w:hAnsi="Arial"/>
          <w:sz w:val="20"/>
          <w:szCs w:val="20"/>
        </w:rPr>
        <w:t xml:space="preserve">Water sensors have been deployed across most or all locations to monitor usage and generate alerts.</w:t>
      </w:r>
    </w:p>
    <w:p>
      <w:pPr>
        <w:pStyle w:val="ListParagraph"/>
        <w:numPr>
          <w:ilvl w:val="0"/>
          <w:numId w:val="2"/>
        </w:numPr>
        <w:spacing w:after="80"/>
      </w:pPr>
      <w:r>
        <w:rPr>
          <w:rFonts w:ascii="Arial" w:cs="Arial" w:eastAsia="Arial" w:hAnsi="Arial"/>
          <w:sz w:val="20"/>
          <w:szCs w:val="20"/>
        </w:rPr>
        <w:t xml:space="preserve">Management is by exception: the team looks at averages, flags the top 20% of outliers, and investigates those. They are not trying to optimize every location individually.</w:t>
      </w:r>
    </w:p>
    <w:p>
      <w:pPr>
        <w:pStyle w:val="ListParagraph"/>
        <w:numPr>
          <w:ilvl w:val="0"/>
          <w:numId w:val="2"/>
        </w:numPr>
        <w:spacing w:after="80"/>
      </w:pPr>
      <w:r>
        <w:rPr>
          <w:rFonts w:ascii="Arial" w:cs="Arial" w:eastAsia="Arial" w:hAnsi="Arial"/>
          <w:sz w:val="20"/>
          <w:szCs w:val="20"/>
        </w:rPr>
        <w:t xml:space="preserve">No AI is currently in use anywhere in Panda’s energy management process.</w:t>
      </w:r>
    </w:p>
    <w:p>
      <w:pPr>
        <w:spacing w:after="120"/>
      </w:pPr>
    </w:p>
    <w:p>
      <w:pPr>
        <w:spacing w:after="80" w:before="200"/>
      </w:pPr>
      <w:r>
        <w:rPr>
          <w:rFonts w:ascii="Arial" w:cs="Arial" w:eastAsia="Arial" w:hAnsi="Arial"/>
          <w:b/>
          <w:bCs/>
          <w:color w:val="333333"/>
          <w:sz w:val="22"/>
          <w:szCs w:val="22"/>
        </w:rPr>
        <w:t xml:space="preserve">2.2 EMS Rollout — What It Does and Why</w:t>
      </w:r>
    </w:p>
    <w:p>
      <w:pPr>
        <w:spacing w:after="120"/>
      </w:pPr>
      <w:r>
        <w:rPr>
          <w:rFonts w:ascii="Arial" w:cs="Arial" w:eastAsia="Arial" w:hAnsi="Arial"/>
          <w:b w:val="false"/>
          <w:bCs w:val="false"/>
          <w:sz w:val="20"/>
          <w:szCs w:val="20"/>
        </w:rPr>
        <w:t xml:space="preserve">The energy management system currently being deployed performs the following:</w:t>
      </w:r>
    </w:p>
    <w:p>
      <w:pPr>
        <w:pStyle w:val="ListParagraph"/>
        <w:numPr>
          <w:ilvl w:val="0"/>
          <w:numId w:val="2"/>
        </w:numPr>
        <w:spacing w:after="80"/>
      </w:pPr>
      <w:r>
        <w:rPr>
          <w:rFonts w:ascii="Arial" w:cs="Arial" w:eastAsia="Arial" w:hAnsi="Arial"/>
          <w:sz w:val="20"/>
          <w:szCs w:val="20"/>
        </w:rPr>
        <w:t xml:space="preserve">Thermostat control: removes set-point authority from individual operators and enforces minimum thresholds. Operators previously set thermostats to 65°F in summer, which was a major waste source.</w:t>
      </w:r>
    </w:p>
    <w:p>
      <w:pPr>
        <w:pStyle w:val="ListParagraph"/>
        <w:numPr>
          <w:ilvl w:val="0"/>
          <w:numId w:val="2"/>
        </w:numPr>
        <w:spacing w:after="80"/>
      </w:pPr>
      <w:r>
        <w:rPr>
          <w:rFonts w:ascii="Arial" w:cs="Arial" w:eastAsia="Arial" w:hAnsi="Arial"/>
          <w:sz w:val="20"/>
          <w:szCs w:val="20"/>
        </w:rPr>
        <w:t xml:space="preserve">Lighting control: manages parking lot and exterior lighting based on time schedules rather than photo sensors, which fail or get dirty and leave lights on 24/7.</w:t>
      </w:r>
    </w:p>
    <w:p>
      <w:pPr>
        <w:pStyle w:val="ListParagraph"/>
        <w:numPr>
          <w:ilvl w:val="0"/>
          <w:numId w:val="2"/>
        </w:numPr>
        <w:spacing w:after="80"/>
      </w:pPr>
      <w:r>
        <w:rPr>
          <w:rFonts w:ascii="Arial" w:cs="Arial" w:eastAsia="Arial" w:hAnsi="Arial"/>
          <w:sz w:val="20"/>
          <w:szCs w:val="20"/>
        </w:rPr>
        <w:t xml:space="preserve">Electricity usage and demand monitoring: tracks total consumption and demand peaks at each location to help manage peak demand pricing.</w:t>
      </w:r>
    </w:p>
    <w:p>
      <w:pPr>
        <w:spacing w:after="120"/>
      </w:pPr>
      <w:r>
        <w:rPr>
          <w:rFonts w:ascii="Arial" w:cs="Arial" w:eastAsia="Arial" w:hAnsi="Arial"/>
          <w:b w:val="false"/>
          <w:bCs w:val="false"/>
          <w:sz w:val="20"/>
          <w:szCs w:val="20"/>
        </w:rPr>
        <w:t xml:space="preserve">Walt noted pushback from operations teams who want colder dining rooms. He described this as a permanent balancing act between energy savings and staff retention: if the restaurant is too warm, employees walk out.</w:t>
      </w:r>
    </w:p>
    <w:p>
      <w:pPr>
        <w:spacing w:after="120"/>
      </w:pPr>
    </w:p>
    <w:p>
      <w:pPr>
        <w:spacing w:after="80" w:before="200"/>
      </w:pPr>
      <w:r>
        <w:rPr>
          <w:rFonts w:ascii="Arial" w:cs="Arial" w:eastAsia="Arial" w:hAnsi="Arial"/>
          <w:b/>
          <w:bCs/>
          <w:color w:val="333333"/>
          <w:sz w:val="22"/>
          <w:szCs w:val="22"/>
        </w:rPr>
        <w:t xml:space="preserve">2.3 Seasonal Calendar</w:t>
      </w:r>
    </w:p>
    <w:p>
      <w:pPr>
        <w:spacing w:after="120"/>
      </w:pPr>
      <w:r>
        <w:rPr>
          <w:rFonts w:ascii="Arial" w:cs="Arial" w:eastAsia="Arial" w:hAnsi="Arial"/>
          <w:b w:val="false"/>
          <w:bCs w:val="false"/>
          <w:sz w:val="20"/>
          <w:szCs w:val="20"/>
        </w:rPr>
        <w:t xml:space="preserve">Panda’s energy management calendar is simple and unseasonal:</w:t>
      </w:r>
    </w:p>
    <w:p>
      <w:pPr>
        <w:pStyle w:val="ListParagraph"/>
        <w:numPr>
          <w:ilvl w:val="0"/>
          <w:numId w:val="2"/>
        </w:numPr>
        <w:spacing w:after="80"/>
      </w:pPr>
      <w:r>
        <w:rPr>
          <w:rFonts w:ascii="Arial" w:cs="Arial" w:eastAsia="Arial" w:hAnsi="Arial"/>
          <w:sz w:val="20"/>
          <w:szCs w:val="20"/>
        </w:rPr>
        <w:t xml:space="preserve">Budgeting: October, for a January–December fiscal year.</w:t>
      </w:r>
    </w:p>
    <w:p>
      <w:pPr>
        <w:pStyle w:val="ListParagraph"/>
        <w:numPr>
          <w:ilvl w:val="0"/>
          <w:numId w:val="2"/>
        </w:numPr>
        <w:spacing w:after="80"/>
      </w:pPr>
      <w:r>
        <w:rPr>
          <w:rFonts w:ascii="Arial" w:cs="Arial" w:eastAsia="Arial" w:hAnsi="Arial"/>
          <w:sz w:val="20"/>
          <w:szCs w:val="20"/>
        </w:rPr>
        <w:t xml:space="preserve">Outlier monitoring: daily, ongoing. Not concentrated in any particular season.</w:t>
      </w:r>
    </w:p>
    <w:p>
      <w:pPr>
        <w:pStyle w:val="ListParagraph"/>
        <w:numPr>
          <w:ilvl w:val="0"/>
          <w:numId w:val="2"/>
        </w:numPr>
        <w:spacing w:after="80"/>
      </w:pPr>
      <w:r>
        <w:rPr>
          <w:rFonts w:ascii="Arial" w:cs="Arial" w:eastAsia="Arial" w:hAnsi="Arial"/>
          <w:sz w:val="20"/>
          <w:szCs w:val="20"/>
        </w:rPr>
        <w:t xml:space="preserve">The most seasonally sensitive variable is peak demand, which shifts with climate region and time-of-use rate structures.</w:t>
      </w:r>
    </w:p>
    <w:p>
      <w:pPr>
        <w:spacing w:after="200"/>
      </w:pPr>
    </w:p>
    <w:p>
      <w:pPr>
        <w:spacing w:after="120" w:before="300"/>
      </w:pPr>
      <w:r>
        <w:rPr>
          <w:rFonts w:ascii="Arial" w:cs="Arial" w:eastAsia="Arial" w:hAnsi="Arial"/>
          <w:b/>
          <w:bCs/>
          <w:color w:val="0A1628"/>
          <w:sz w:val="26"/>
          <w:szCs w:val="26"/>
        </w:rPr>
        <w:t xml:space="preserve">3. The ENGIE Impact / Arcadia Relationship — Confirmed</w:t>
      </w:r>
    </w:p>
    <w:p>
      <w:pPr>
        <w:pBdr>
          <w:bottom w:val="single" w:color="0A1628" w:sz="4" w:space="1"/>
        </w:pBdr>
        <w:spacing w:after="160"/>
      </w:pPr>
    </w:p>
    <w:p>
      <w:pPr>
        <w:spacing w:after="120"/>
      </w:pPr>
      <w:r>
        <w:rPr>
          <w:rFonts w:ascii="Arial" w:cs="Arial" w:eastAsia="Arial" w:hAnsi="Arial"/>
          <w:b w:val="false"/>
          <w:bCs w:val="false"/>
          <w:sz w:val="20"/>
          <w:szCs w:val="20"/>
        </w:rPr>
        <w:t xml:space="preserve">This is the single most commercially significant finding in the interview. Walt confirmed unprompted that ENGIE Impact uses Arcadia to aggregate electronic utility bill data, and separately uses OCR for paper bills: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CCCCCC" w:sz="1"/>
              <w:left w:val="single" w:color="CCCCCC" w:sz="1"/>
              <w:bottom w:val="single" w:color="CCCCCC" w:sz="1"/>
              <w:right w:val="single" w:color="CCCCCC" w:sz="1"/>
            </w:tcBorders>
            <w:shd w:fill="FEF9E0" w:val="clear"/>
            <w:tcMar>
              <w:top w:type="dxa" w:w="120"/>
              <w:left w:type="dxa" w:w="160"/>
              <w:bottom w:type="dxa" w:w="120"/>
              <w:right w:type="dxa" w:w="160"/>
            </w:tcMar>
          </w:tcPr>
          <w:p>
            <w:r>
              <w:rPr>
                <w:rFonts w:ascii="Arial" w:cs="Arial" w:eastAsia="Arial" w:hAnsi="Arial"/>
                <w:b/>
                <w:bCs/>
                <w:color w:val="0A1628"/>
                <w:sz w:val="20"/>
                <w:szCs w:val="20"/>
              </w:rPr>
              <w:t xml:space="preserve">“NG actually uses Arcadia to get their electronic bills and then they get the paper bills, you know, mailed to them and they run through the OCR.”</w:t>
            </w:r>
          </w:p>
          <w:p>
            <w:r>
              <w:rPr>
                <w:rFonts w:ascii="Arial" w:cs="Arial" w:eastAsia="Arial" w:hAnsi="Arial"/>
                <w:color w:val="555555"/>
                <w:sz w:val="18"/>
                <w:szCs w:val="18"/>
              </w:rPr>
              <w:t xml:space="preserve">— Walt Taylor, on ENGIE Impact’s data architecture</w:t>
            </w:r>
          </w:p>
        </w:tc>
      </w:tr>
    </w:tbl>
    <w:p>
      <w:pPr>
        <w:spacing w:after="160"/>
      </w:pPr>
    </w:p>
    <w:p>
      <w:pPr>
        <w:spacing w:after="120"/>
      </w:pPr>
      <w:r>
        <w:rPr>
          <w:rFonts w:ascii="Arial" w:cs="Arial" w:eastAsia="Arial" w:hAnsi="Arial"/>
          <w:b w:val="false"/>
          <w:bCs w:val="false"/>
          <w:sz w:val="20"/>
          <w:szCs w:val="20"/>
        </w:rPr>
        <w:t xml:space="preserve">Walt also provided historical context: the predecessor platform to Arcadia at ENGIE was a company called Urgenet, which was later acquired by Arcadia. ENGIE then made a deliberate decision to stop developing its own bill aggregation software and rely on Arcadia’s platform instead.</w:t>
      </w:r>
    </w:p>
    <w:p>
      <w:pPr>
        <w:spacing w:after="80" w:before="200"/>
      </w:pPr>
      <w:r>
        <w:rPr>
          <w:rFonts w:ascii="Arial" w:cs="Arial" w:eastAsia="Arial" w:hAnsi="Arial"/>
          <w:b/>
          <w:bCs/>
          <w:color w:val="333333"/>
          <w:sz w:val="22"/>
          <w:szCs w:val="22"/>
        </w:rPr>
        <w:t xml:space="preserve">3.1 Independent Confirmation from Arcadia’s Own Documentation</w:t>
      </w:r>
    </w:p>
    <w:p>
      <w:pPr>
        <w:spacing w:after="120"/>
      </w:pPr>
      <w:r>
        <w:rPr>
          <w:rFonts w:ascii="Arial" w:cs="Arial" w:eastAsia="Arial" w:hAnsi="Arial"/>
          <w:b w:val="false"/>
          <w:bCs w:val="false"/>
          <w:sz w:val="20"/>
          <w:szCs w:val="20"/>
        </w:rPr>
        <w:t xml:space="preserve">This finding was confirmed through Arcadia’s published technical documentation. Arcadia’s developer docs explicitly address the ENGIE Insight platform as a known indirect data source in their integration architecture — meaning Arcadia has built a specific pathway to ingest data through ENGIE Insight when customers grant access to the ENGIE portal rather than directly to their utility accounts. Arcadia designates these as “INDIRECT” sources and notes that direct utility credentials are always preferred.</w:t>
      </w:r>
    </w:p>
    <w:p>
      <w:pPr>
        <w:spacing w:after="80" w:before="200"/>
      </w:pPr>
      <w:r>
        <w:rPr>
          <w:rFonts w:ascii="Arial" w:cs="Arial" w:eastAsia="Arial" w:hAnsi="Arial"/>
          <w:b/>
          <w:bCs/>
          <w:color w:val="333333"/>
          <w:sz w:val="22"/>
          <w:szCs w:val="22"/>
        </w:rPr>
        <w:t xml:space="preserve">3.2 Implications for Clear Current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Implication</w:t>
            </w:r>
          </w:p>
        </w:tc>
        <w:tc>
          <w:tcPr>
            <w:tcW w:type="dxa" w:w="70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ENGIE’s data backbone is not proprietary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ENGIE Impact built its bill aggregation capability on top of Arcadia, not from scratch. This means ENGIE’s data quality ceiling is Arcadia’s data quality ceiling.</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Paper bills remain OCR-dependent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Even with Arcadia for electronic bills, ENGIE still relies on OCR for paper bills. Walt confirmed OCR doesn’t work 100% of the time and that catching 90% of errors is the realistic target.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The Arcadia layer is accessible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competitor that integrates directly with Arcadia’s data layer could potentially match ENGIE’s electronic bill coverage without building its own aggregation infrastructure.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The LLM gap is visible to customers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Walt explicitly said ENGIE should just “bolt on” an LLM since they already have all the data. He expressed this as a natural next step — and his willingness to work with Claude himself shows low friction for AI adoption.</w:t>
            </w:r>
          </w:p>
        </w:tc>
      </w:tr>
    </w:tbl>
    <w:p>
      <w:pPr>
        <w:spacing w:after="200"/>
      </w:pPr>
    </w:p>
    <w:p>
      <w:pPr>
        <w:spacing w:after="120" w:before="300"/>
      </w:pPr>
      <w:r>
        <w:rPr>
          <w:rFonts w:ascii="Arial" w:cs="Arial" w:eastAsia="Arial" w:hAnsi="Arial"/>
          <w:b/>
          <w:bCs/>
          <w:color w:val="0A1628"/>
          <w:sz w:val="26"/>
          <w:szCs w:val="26"/>
        </w:rPr>
        <w:t xml:space="preserve">4. Utility Rate Complexity — The Real GTM Barrier</w:t>
      </w:r>
    </w:p>
    <w:p>
      <w:pPr>
        <w:pBdr>
          <w:bottom w:val="single" w:color="0A1628" w:sz="4" w:space="1"/>
        </w:pBdr>
        <w:spacing w:after="160"/>
      </w:pPr>
    </w:p>
    <w:p>
      <w:pPr>
        <w:spacing w:after="120"/>
      </w:pPr>
      <w:r>
        <w:rPr>
          <w:rFonts w:ascii="Arial" w:cs="Arial" w:eastAsia="Arial" w:hAnsi="Arial"/>
          <w:b w:val="false"/>
          <w:bCs w:val="false"/>
          <w:sz w:val="20"/>
          <w:szCs w:val="20"/>
        </w:rPr>
        <w:t xml:space="preserve">Walt spent more time on rate complexity than any topic except the ENGIE/Arcadia finding. His perspective is the most technically detailed of any interviewee in this program.</w:t>
      </w:r>
    </w:p>
    <w:p>
      <w:pPr>
        <w:spacing w:after="80" w:before="200"/>
      </w:pPr>
      <w:r>
        <w:rPr>
          <w:rFonts w:ascii="Arial" w:cs="Arial" w:eastAsia="Arial" w:hAnsi="Arial"/>
          <w:b/>
          <w:bCs/>
          <w:color w:val="333333"/>
          <w:sz w:val="22"/>
          <w:szCs w:val="22"/>
        </w:rPr>
        <w:t xml:space="preserve">4.1 The Heterogeneity Problem</w:t>
      </w:r>
    </w:p>
    <w:p>
      <w:pPr>
        <w:pStyle w:val="ListParagraph"/>
        <w:numPr>
          <w:ilvl w:val="0"/>
          <w:numId w:val="2"/>
        </w:numPr>
        <w:spacing w:after="80"/>
      </w:pPr>
      <w:r>
        <w:rPr>
          <w:rFonts w:ascii="Arial" w:cs="Arial" w:eastAsia="Arial" w:hAnsi="Arial"/>
          <w:sz w:val="20"/>
          <w:szCs w:val="20"/>
        </w:rPr>
        <w:t xml:space="preserve">Alabama Power alone has approximately 45 rate structures. An AI tool that checks every rate at every utility for every location would be checking thousands of permutations at scale — and most of them are irrelevant because the customer is already on the best available rate.</w:t>
      </w:r>
    </w:p>
    <w:p>
      <w:pPr>
        <w:pStyle w:val="ListParagraph"/>
        <w:numPr>
          <w:ilvl w:val="0"/>
          <w:numId w:val="2"/>
        </w:numPr>
        <w:spacing w:after="80"/>
      </w:pPr>
      <w:r>
        <w:rPr>
          <w:rFonts w:ascii="Arial" w:cs="Arial" w:eastAsia="Arial" w:hAnsi="Arial"/>
          <w:sz w:val="20"/>
          <w:szCs w:val="20"/>
        </w:rPr>
        <w:t xml:space="preserve">Electricity, water, sewer, and natural gas each have different structures. Natural gas is relatively simple (straight usage). Electricity and water are complex. Sewer is the most structurally unfair.</w:t>
      </w:r>
    </w:p>
    <w:p>
      <w:pPr>
        <w:pStyle w:val="ListParagraph"/>
        <w:numPr>
          <w:ilvl w:val="0"/>
          <w:numId w:val="2"/>
        </w:numPr>
        <w:spacing w:after="80"/>
      </w:pPr>
      <w:r>
        <w:rPr>
          <w:rFonts w:ascii="Arial" w:cs="Arial" w:eastAsia="Arial" w:hAnsi="Arial"/>
          <w:sz w:val="20"/>
          <w:szCs w:val="20"/>
        </w:rPr>
        <w:t xml:space="preserve">No two restaurant locations bill identically, even when adjacent, because of building age, orientation, square footage, ceiling height, equipment vintage, and operator behavior.</w:t>
      </w:r>
    </w:p>
    <w:p>
      <w:pPr>
        <w:spacing w:after="80" w:before="200"/>
      </w:pPr>
      <w:r>
        <w:rPr>
          <w:rFonts w:ascii="Arial" w:cs="Arial" w:eastAsia="Arial" w:hAnsi="Arial"/>
          <w:b/>
          <w:bCs/>
          <w:color w:val="333333"/>
          <w:sz w:val="22"/>
          <w:szCs w:val="22"/>
        </w:rPr>
        <w:t xml:space="preserve">4.2 The Ratchet Rate (Georgia Power Example)</w:t>
      </w:r>
    </w:p>
    <w:p>
      <w:pPr>
        <w:spacing w:after="120"/>
      </w:pPr>
      <w:r>
        <w:rPr>
          <w:rFonts w:ascii="Arial" w:cs="Arial" w:eastAsia="Arial" w:hAnsi="Arial"/>
          <w:b w:val="false"/>
          <w:bCs w:val="false"/>
          <w:sz w:val="20"/>
          <w:szCs w:val="20"/>
        </w:rPr>
        <w:t xml:space="preserve">Walt gave one of the most detailed rate structure explanations in the research program, using Georgia Power as an example. Georgia Power does not charge separately for peak demand — it is embedded in a ratchet mechanism:</w:t>
      </w:r>
    </w:p>
    <w:p>
      <w:pPr>
        <w:pStyle w:val="ListParagraph"/>
        <w:numPr>
          <w:ilvl w:val="0"/>
          <w:numId w:val="2"/>
        </w:numPr>
        <w:spacing w:after="80"/>
      </w:pPr>
      <w:r>
        <w:rPr>
          <w:rFonts w:ascii="Arial" w:cs="Arial" w:eastAsia="Arial" w:hAnsi="Arial"/>
          <w:sz w:val="20"/>
          <w:szCs w:val="20"/>
        </w:rPr>
        <w:t xml:space="preserve">Whatever a customer’s peak demand is during the hottest month of the year (e.g., June), that peak becomes the basis for their capacity charge.</w:t>
      </w:r>
    </w:p>
    <w:p>
      <w:pPr>
        <w:pStyle w:val="ListParagraph"/>
        <w:numPr>
          <w:ilvl w:val="0"/>
          <w:numId w:val="2"/>
        </w:numPr>
        <w:spacing w:after="80"/>
      </w:pPr>
      <w:r>
        <w:rPr>
          <w:rFonts w:ascii="Arial" w:cs="Arial" w:eastAsia="Arial" w:hAnsi="Arial"/>
          <w:sz w:val="20"/>
          <w:szCs w:val="20"/>
        </w:rPr>
        <w:t xml:space="preserve">That charge is applied for the following nine months at 100%, and in the remaining three winter months at 90% of the peak.</w:t>
      </w:r>
    </w:p>
    <w:p>
      <w:pPr>
        <w:pStyle w:val="ListParagraph"/>
        <w:numPr>
          <w:ilvl w:val="0"/>
          <w:numId w:val="2"/>
        </w:numPr>
        <w:spacing w:after="80"/>
      </w:pPr>
      <w:r>
        <w:rPr>
          <w:rFonts w:ascii="Arial" w:cs="Arial" w:eastAsia="Arial" w:hAnsi="Arial"/>
          <w:sz w:val="20"/>
          <w:szCs w:val="20"/>
        </w:rPr>
        <w:t xml:space="preserve">If conditions change, the utility adjusts to whatever is most advantageous for them. Walt noted this is not necessarily unfair in principle, but the calculation is opaque and embedded in fine print.</w:t>
      </w:r>
    </w:p>
    <w:p>
      <w:pPr>
        <w:spacing w:after="80" w:before="200"/>
      </w:pPr>
      <w:r>
        <w:rPr>
          <w:rFonts w:ascii="Arial" w:cs="Arial" w:eastAsia="Arial" w:hAnsi="Arial"/>
          <w:b/>
          <w:bCs/>
          <w:color w:val="333333"/>
          <w:sz w:val="22"/>
          <w:szCs w:val="22"/>
        </w:rPr>
        <w:t xml:space="preserve">4.3 Sewer Overbilling — An Uncontested Structural Issue</w:t>
      </w:r>
    </w:p>
    <w:p>
      <w:pPr>
        <w:spacing w:after="120"/>
      </w:pPr>
      <w:r>
        <w:rPr>
          <w:rFonts w:ascii="Arial" w:cs="Arial" w:eastAsia="Arial" w:hAnsi="Arial"/>
          <w:b w:val="false"/>
          <w:bCs w:val="false"/>
          <w:sz w:val="20"/>
          <w:szCs w:val="20"/>
        </w:rPr>
        <w:t xml:space="preserve">This is a new finding not previously surfaced in the research program. Walt described a systematic billing error category that is legally permitted but structurally incorrect:</w:t>
      </w:r>
    </w:p>
    <w:p>
      <w:pPr>
        <w:pStyle w:val="ListParagraph"/>
        <w:numPr>
          <w:ilvl w:val="0"/>
          <w:numId w:val="2"/>
        </w:numPr>
        <w:spacing w:after="80"/>
      </w:pPr>
      <w:r>
        <w:rPr>
          <w:rFonts w:ascii="Arial" w:cs="Arial" w:eastAsia="Arial" w:hAnsi="Arial"/>
          <w:sz w:val="20"/>
          <w:szCs w:val="20"/>
        </w:rPr>
        <w:t xml:space="preserve">Water utilities charge sewer rates based on water intake, on the assumption that most water entering a building is also discharged as sewage.</w:t>
      </w:r>
    </w:p>
    <w:p>
      <w:pPr>
        <w:pStyle w:val="ListParagraph"/>
        <w:numPr>
          <w:ilvl w:val="0"/>
          <w:numId w:val="2"/>
        </w:numPr>
        <w:spacing w:after="80"/>
      </w:pPr>
      <w:r>
        <w:rPr>
          <w:rFonts w:ascii="Arial" w:cs="Arial" w:eastAsia="Arial" w:hAnsi="Arial"/>
          <w:sz w:val="20"/>
          <w:szCs w:val="20"/>
        </w:rPr>
        <w:t xml:space="preserve">This assumption is valid for office buildings and homes. It is wrong for restaurants. At Panda Express, the two largest water uses are ice and drinks — both of which are consumed offsite by customers.</w:t>
      </w:r>
    </w:p>
    <w:p>
      <w:pPr>
        <w:pStyle w:val="ListParagraph"/>
        <w:numPr>
          <w:ilvl w:val="0"/>
          <w:numId w:val="2"/>
        </w:numPr>
        <w:spacing w:after="80"/>
      </w:pPr>
      <w:r>
        <w:rPr>
          <w:rFonts w:ascii="Arial" w:cs="Arial" w:eastAsia="Arial" w:hAnsi="Arial"/>
          <w:sz w:val="20"/>
          <w:szCs w:val="20"/>
        </w:rPr>
        <w:t xml:space="preserve">There is no meter tracking how much water actually leaves a restaurant as sewage. The utility simply charges as if all input water becomes sewage.</w:t>
      </w:r>
    </w:p>
    <w:p>
      <w:pPr>
        <w:pStyle w:val="ListParagraph"/>
        <w:numPr>
          <w:ilvl w:val="0"/>
          <w:numId w:val="2"/>
        </w:numPr>
        <w:spacing w:after="80"/>
      </w:pPr>
      <w:r>
        <w:rPr>
          <w:rFonts w:ascii="Arial" w:cs="Arial" w:eastAsia="Arial" w:hAnsi="Arial"/>
          <w:sz w:val="20"/>
          <w:szCs w:val="20"/>
        </w:rPr>
        <w:t xml:space="preserve">West Coast markets are particularly exposed because water and sewer remediation costs are among the highest in the country.</w:t>
      </w:r>
    </w:p>
    <w:p>
      <w:pPr>
        <w:spacing w:after="120"/>
      </w:pPr>
      <w:r>
        <w:rPr>
          <w:rFonts w:ascii="Arial" w:cs="Arial" w:eastAsia="Arial" w:hAnsi="Arial"/>
          <w:b w:val="false"/>
          <w:bCs w:val="false"/>
          <w:sz w:val="20"/>
          <w:szCs w:val="20"/>
        </w:rPr>
        <w:t xml:space="preserve">Walt acknowledged there is currently no way to prove the actual sewage discharge amount. This is a structural issue, not an invoicing error — but it represents a category of systematic overbilling that nobody in the industry is currently contesting.</w:t>
      </w:r>
    </w:p>
    <w:p>
      <w:pPr>
        <w:spacing w:after="80" w:before="200"/>
      </w:pPr>
      <w:r>
        <w:rPr>
          <w:rFonts w:ascii="Arial" w:cs="Arial" w:eastAsia="Arial" w:hAnsi="Arial"/>
          <w:b/>
          <w:bCs/>
          <w:color w:val="333333"/>
          <w:sz w:val="22"/>
          <w:szCs w:val="22"/>
        </w:rPr>
        <w:t xml:space="preserve">4.4 Peak Demand and the California Duck Curve</w:t>
      </w:r>
    </w:p>
    <w:p>
      <w:pPr>
        <w:spacing w:after="120"/>
      </w:pPr>
      <w:r>
        <w:rPr>
          <w:rFonts w:ascii="Arial" w:cs="Arial" w:eastAsia="Arial" w:hAnsi="Arial"/>
          <w:b w:val="false"/>
          <w:bCs w:val="false"/>
          <w:sz w:val="20"/>
          <w:szCs w:val="20"/>
        </w:rPr>
        <w:t xml:space="preserve">Walt introduced the California duck curve problem in the context of time-of-use rate structures:</w:t>
      </w:r>
    </w:p>
    <w:p>
      <w:pPr>
        <w:pStyle w:val="ListParagraph"/>
        <w:numPr>
          <w:ilvl w:val="0"/>
          <w:numId w:val="2"/>
        </w:numPr>
        <w:spacing w:after="80"/>
      </w:pPr>
      <w:r>
        <w:rPr>
          <w:rFonts w:ascii="Arial" w:cs="Arial" w:eastAsia="Arial" w:hAnsi="Arial"/>
          <w:sz w:val="20"/>
          <w:szCs w:val="20"/>
        </w:rPr>
        <w:t xml:space="preserve">Historically, peak demand in California occurred mid-afternoon, similar to Texas. Utilities structured time-of-use rates accordingly.</w:t>
      </w:r>
    </w:p>
    <w:p>
      <w:pPr>
        <w:pStyle w:val="ListParagraph"/>
        <w:numPr>
          <w:ilvl w:val="0"/>
          <w:numId w:val="2"/>
        </w:numPr>
        <w:spacing w:after="80"/>
      </w:pPr>
      <w:r>
        <w:rPr>
          <w:rFonts w:ascii="Arial" w:cs="Arial" w:eastAsia="Arial" w:hAnsi="Arial"/>
          <w:sz w:val="20"/>
          <w:szCs w:val="20"/>
        </w:rPr>
        <w:t xml:space="preserve">As California pushed residential solar adoption, solar production now floods the grid during mid-day. Peak demand has shifted to evenings when solar drops off.</w:t>
      </w:r>
    </w:p>
    <w:p>
      <w:pPr>
        <w:pStyle w:val="ListParagraph"/>
        <w:numPr>
          <w:ilvl w:val="0"/>
          <w:numId w:val="2"/>
        </w:numPr>
        <w:spacing w:after="80"/>
      </w:pPr>
      <w:r>
        <w:rPr>
          <w:rFonts w:ascii="Arial" w:cs="Arial" w:eastAsia="Arial" w:hAnsi="Arial"/>
          <w:sz w:val="20"/>
          <w:szCs w:val="20"/>
        </w:rPr>
        <w:t xml:space="preserve">Utilities have adjusted their rate structures to follow the new peak, meaning companies that positioned their operations around old peak windows now face new exposures.</w:t>
      </w:r>
    </w:p>
    <w:p>
      <w:pPr>
        <w:pStyle w:val="ListParagraph"/>
        <w:numPr>
          <w:ilvl w:val="0"/>
          <w:numId w:val="2"/>
        </w:numPr>
        <w:spacing w:after="80"/>
      </w:pPr>
      <w:r>
        <w:rPr>
          <w:rFonts w:ascii="Arial" w:cs="Arial" w:eastAsia="Arial" w:hAnsi="Arial"/>
          <w:sz w:val="20"/>
          <w:szCs w:val="20"/>
        </w:rPr>
        <w:t xml:space="preserve">Walt’s framing: utilities will always adjust their rate structures to remain profitable. Energy managers who track only current rates will continually be caught behind.</w:t>
      </w:r>
    </w:p>
    <w:p>
      <w:pPr>
        <w:spacing w:after="200"/>
      </w:pPr>
    </w:p>
    <w:p>
      <w:pPr>
        <w:spacing w:after="120" w:before="300"/>
      </w:pPr>
      <w:r>
        <w:rPr>
          <w:rFonts w:ascii="Arial" w:cs="Arial" w:eastAsia="Arial" w:hAnsi="Arial"/>
          <w:b/>
          <w:bCs/>
          <w:color w:val="0A1628"/>
          <w:sz w:val="26"/>
          <w:szCs w:val="26"/>
        </w:rPr>
        <w:t xml:space="preserve">5. Clear Current Fit Assessment</w:t>
      </w:r>
    </w:p>
    <w:p>
      <w:pPr>
        <w:pBdr>
          <w:bottom w:val="single" w:color="0A1628" w:sz="4" w:space="1"/>
        </w:pBdr>
        <w:spacing w:after="160"/>
      </w:pPr>
    </w:p>
    <w:p>
      <w:pPr>
        <w:spacing w:after="80" w:before="200"/>
      </w:pPr>
      <w:r>
        <w:rPr>
          <w:rFonts w:ascii="Arial" w:cs="Arial" w:eastAsia="Arial" w:hAnsi="Arial"/>
          <w:b/>
          <w:bCs/>
          <w:color w:val="333333"/>
          <w:sz w:val="22"/>
          <w:szCs w:val="22"/>
        </w:rPr>
        <w:t xml:space="preserve">5.1 Where the Tool Works (Walt’s Assessment)</w:t>
      </w:r>
    </w:p>
    <w:p>
      <w:pPr>
        <w:spacing w:after="120"/>
      </w:pPr>
      <w:r>
        <w:rPr>
          <w:rFonts w:ascii="Arial" w:cs="Arial" w:eastAsia="Arial" w:hAnsi="Arial"/>
          <w:b w:val="false"/>
          <w:bCs w:val="false"/>
          <w:sz w:val="20"/>
          <w:szCs w:val="20"/>
        </w:rPr>
        <w:t xml:space="preserve">Walt was candid that the AI billing tool concept is more credible for smaller multi-site operators than for Panda at its current scale:</w:t>
      </w:r>
    </w:p>
    <w:p>
      <w:pPr>
        <w:pStyle w:val="ListParagraph"/>
        <w:numPr>
          <w:ilvl w:val="0"/>
          <w:numId w:val="2"/>
        </w:numPr>
        <w:spacing w:after="80"/>
      </w:pPr>
      <w:r>
        <w:rPr>
          <w:rFonts w:ascii="Arial" w:cs="Arial" w:eastAsia="Arial" w:hAnsi="Arial"/>
          <w:sz w:val="20"/>
          <w:szCs w:val="20"/>
        </w:rPr>
        <w:t xml:space="preserve">A franchisee with 25 restaurants and one or two utilities: “I think that probably works.” Fewer utilities, more likely electronic bill availability, lower rate complexity.</w:t>
      </w:r>
    </w:p>
    <w:p>
      <w:pPr>
        <w:pStyle w:val="ListParagraph"/>
        <w:numPr>
          <w:ilvl w:val="0"/>
          <w:numId w:val="2"/>
        </w:numPr>
        <w:spacing w:after="80"/>
      </w:pPr>
      <w:r>
        <w:rPr>
          <w:rFonts w:ascii="Arial" w:cs="Arial" w:eastAsia="Arial" w:hAnsi="Arial"/>
          <w:sz w:val="20"/>
          <w:szCs w:val="20"/>
        </w:rPr>
        <w:t xml:space="preserve">The tool’s document-chat capability would be genuinely useful for answering operator questions: why is this Philadelphia store’s bill so much higher than that one? These questions currently require manual bill downloads and cross-referencing.</w:t>
      </w:r>
    </w:p>
    <w:p>
      <w:pPr>
        <w:pStyle w:val="ListParagraph"/>
        <w:numPr>
          <w:ilvl w:val="0"/>
          <w:numId w:val="2"/>
        </w:numPr>
        <w:spacing w:after="80"/>
      </w:pPr>
      <w:r>
        <w:rPr>
          <w:rFonts w:ascii="Arial" w:cs="Arial" w:eastAsia="Arial" w:hAnsi="Arial"/>
          <w:sz w:val="20"/>
          <w:szCs w:val="20"/>
        </w:rPr>
        <w:t xml:space="preserve">Rate tariff analysis, if done correctly, would surface savings that ENGIE doesn’t catch because ENGIE assumes most customers are already on optimal rates.</w:t>
      </w:r>
    </w:p>
    <w:p>
      <w:pPr>
        <w:spacing w:after="80" w:before="200"/>
      </w:pPr>
      <w:r>
        <w:rPr>
          <w:rFonts w:ascii="Arial" w:cs="Arial" w:eastAsia="Arial" w:hAnsi="Arial"/>
          <w:b/>
          <w:bCs/>
          <w:color w:val="333333"/>
          <w:sz w:val="22"/>
          <w:szCs w:val="22"/>
        </w:rPr>
        <w:t xml:space="preserve">5.2 Where Walt Is Skeptical</w:t>
      </w:r>
    </w:p>
    <w:p>
      <w:pPr>
        <w:pStyle w:val="ListParagraph"/>
        <w:numPr>
          <w:ilvl w:val="0"/>
          <w:numId w:val="2"/>
        </w:numPr>
        <w:spacing w:after="80"/>
      </w:pPr>
      <w:r>
        <w:rPr>
          <w:rFonts w:ascii="Arial" w:cs="Arial" w:eastAsia="Arial" w:hAnsi="Arial"/>
          <w:sz w:val="20"/>
          <w:szCs w:val="20"/>
        </w:rPr>
        <w:t xml:space="preserve">At Panda’s scale, the complexity is not just bill volume — it’s the combination of thousands of rate structures, paper bill OCR gaps, and location-level variability that resists standardization.</w:t>
      </w:r>
    </w:p>
    <w:p>
      <w:pPr>
        <w:pStyle w:val="ListParagraph"/>
        <w:numPr>
          <w:ilvl w:val="0"/>
          <w:numId w:val="2"/>
        </w:numPr>
        <w:spacing w:after="80"/>
      </w:pPr>
      <w:r>
        <w:rPr>
          <w:rFonts w:ascii="Arial" w:cs="Arial" w:eastAsia="Arial" w:hAnsi="Arial"/>
          <w:sz w:val="20"/>
          <w:szCs w:val="20"/>
        </w:rPr>
        <w:t xml:space="preserve">Energy is not like writing code: “Writing code does the same thing every time and you get the same result every time. That’s not how it is when you’re looking at utility bills.”</w:t>
      </w:r>
    </w:p>
    <w:p>
      <w:pPr>
        <w:pStyle w:val="ListParagraph"/>
        <w:numPr>
          <w:ilvl w:val="0"/>
          <w:numId w:val="2"/>
        </w:numPr>
        <w:spacing w:after="80"/>
      </w:pPr>
      <w:r>
        <w:rPr>
          <w:rFonts w:ascii="Arial" w:cs="Arial" w:eastAsia="Arial" w:hAnsi="Arial"/>
          <w:sz w:val="20"/>
          <w:szCs w:val="20"/>
        </w:rPr>
        <w:t xml:space="preserve">He would need to see demonstrated accuracy at scale before trusting an AI system enough to replace manual review. He expressed this as a confidence gap, not a technology rejection.</w:t>
      </w:r>
    </w:p>
    <w:p>
      <w:pPr>
        <w:pStyle w:val="ListParagraph"/>
        <w:numPr>
          <w:ilvl w:val="0"/>
          <w:numId w:val="2"/>
        </w:numPr>
        <w:spacing w:after="80"/>
      </w:pPr>
      <w:r>
        <w:rPr>
          <w:rFonts w:ascii="Arial" w:cs="Arial" w:eastAsia="Arial" w:hAnsi="Arial"/>
          <w:sz w:val="20"/>
          <w:szCs w:val="20"/>
        </w:rPr>
        <w:t xml:space="preserve">Walt also noted that restaurants are manufacturing facilities inside 2,000-square-foot boxes. Vendors who claim they can solve restaurant energy without understanding the operational environment — hoods, kitchen equipment, pressure balancing — consistently fail. He has seen this pattern repeatedly.</w:t>
      </w:r>
    </w:p>
    <w:p>
      <w:pPr>
        <w:spacing w:after="80" w:before="200"/>
      </w:pPr>
      <w:r>
        <w:rPr>
          <w:rFonts w:ascii="Arial" w:cs="Arial" w:eastAsia="Arial" w:hAnsi="Arial"/>
          <w:b/>
          <w:bCs/>
          <w:color w:val="333333"/>
          <w:sz w:val="22"/>
          <w:szCs w:val="22"/>
        </w:rPr>
        <w:t xml:space="preserve">5.3 Questions Walt Would Ask an LLM-Powered ENGIE</w:t>
      </w:r>
    </w:p>
    <w:p>
      <w:pPr>
        <w:spacing w:after="120"/>
      </w:pPr>
      <w:r>
        <w:rPr>
          <w:rFonts w:ascii="Arial" w:cs="Arial" w:eastAsia="Arial" w:hAnsi="Arial"/>
          <w:b w:val="false"/>
          <w:bCs w:val="false"/>
          <w:sz w:val="20"/>
          <w:szCs w:val="20"/>
        </w:rPr>
        <w:t xml:space="preserve">When asked what he would do if ENGIE had an LLM interface, Walt provided the clearest picture of what an enterprise energy manager actually needs:</w:t>
      </w:r>
    </w:p>
    <w:p>
      <w:pPr>
        <w:pStyle w:val="ListParagraph"/>
        <w:numPr>
          <w:ilvl w:val="0"/>
          <w:numId w:val="2"/>
        </w:numPr>
        <w:spacing w:after="80"/>
      </w:pPr>
      <w:r>
        <w:rPr>
          <w:rFonts w:ascii="Arial" w:cs="Arial" w:eastAsia="Arial" w:hAnsi="Arial"/>
          <w:sz w:val="20"/>
          <w:szCs w:val="20"/>
        </w:rPr>
        <w:t xml:space="preserve">Why are my 20 stores in Philadelphia billing so differently? Break down rates, usage patterns, and peak charges across utilities.</w:t>
      </w:r>
    </w:p>
    <w:p>
      <w:pPr>
        <w:pStyle w:val="ListParagraph"/>
        <w:numPr>
          <w:ilvl w:val="0"/>
          <w:numId w:val="2"/>
        </w:numPr>
        <w:spacing w:after="80"/>
      </w:pPr>
      <w:r>
        <w:rPr>
          <w:rFonts w:ascii="Arial" w:cs="Arial" w:eastAsia="Arial" w:hAnsi="Arial"/>
          <w:sz w:val="20"/>
          <w:szCs w:val="20"/>
        </w:rPr>
        <w:t xml:space="preserve">What are our top outliers this month and what is driving them — not just that they’re outliers, but why?</w:t>
      </w:r>
    </w:p>
    <w:p>
      <w:pPr>
        <w:pStyle w:val="ListParagraph"/>
        <w:numPr>
          <w:ilvl w:val="0"/>
          <w:numId w:val="2"/>
        </w:numPr>
        <w:spacing w:after="80"/>
      </w:pPr>
      <w:r>
        <w:rPr>
          <w:rFonts w:ascii="Arial" w:cs="Arial" w:eastAsia="Arial" w:hAnsi="Arial"/>
          <w:sz w:val="20"/>
          <w:szCs w:val="20"/>
        </w:rPr>
        <w:t xml:space="preserve">Flag when a specific meter or piece of equipment drove a usage spike that will trigger a ratchet rate for the next nine months.</w:t>
      </w:r>
    </w:p>
    <w:p>
      <w:pPr>
        <w:pStyle w:val="ListParagraph"/>
        <w:numPr>
          <w:ilvl w:val="0"/>
          <w:numId w:val="2"/>
        </w:numPr>
        <w:spacing w:after="80"/>
      </w:pPr>
      <w:r>
        <w:rPr>
          <w:rFonts w:ascii="Arial" w:cs="Arial" w:eastAsia="Arial" w:hAnsi="Arial"/>
          <w:sz w:val="20"/>
          <w:szCs w:val="20"/>
        </w:rPr>
        <w:t xml:space="preserve">A conversation interface that could replace manually downloading bills, cross-referencing, and producing a written explanation for an operator.</w:t>
      </w:r>
    </w:p>
    <w:p>
      <w:pPr>
        <w:spacing w:after="200"/>
      </w:pPr>
    </w:p>
    <w:p>
      <w:pPr>
        <w:spacing w:after="120" w:before="300"/>
      </w:pPr>
      <w:r>
        <w:rPr>
          <w:rFonts w:ascii="Arial" w:cs="Arial" w:eastAsia="Arial" w:hAnsi="Arial"/>
          <w:b/>
          <w:bCs/>
          <w:color w:val="0A1628"/>
          <w:sz w:val="26"/>
          <w:szCs w:val="26"/>
        </w:rPr>
        <w:t xml:space="preserve">6. Bonus Insight — Square Footage Is the Wrong Metric</w:t>
      </w:r>
    </w:p>
    <w:p>
      <w:pPr>
        <w:pBdr>
          <w:bottom w:val="single" w:color="0A1628" w:sz="4" w:space="1"/>
        </w:pBdr>
        <w:spacing w:after="160"/>
      </w:pPr>
    </w:p>
    <w:p>
      <w:pPr>
        <w:spacing w:after="120"/>
      </w:pPr>
      <w:r>
        <w:rPr>
          <w:rFonts w:ascii="Arial" w:cs="Arial" w:eastAsia="Arial" w:hAnsi="Arial"/>
          <w:b w:val="false"/>
          <w:bCs w:val="false"/>
          <w:sz w:val="20"/>
          <w:szCs w:val="20"/>
        </w:rPr>
        <w:t xml:space="preserve">Walt offered an unprompted critique of the foundational energy benchmarking standard:</w:t>
      </w:r>
    </w:p>
    <w:p>
      <w:pPr>
        <w:pStyle w:val="ListParagraph"/>
        <w:numPr>
          <w:ilvl w:val="0"/>
          <w:numId w:val="2"/>
        </w:numPr>
        <w:spacing w:after="80"/>
      </w:pPr>
      <w:r>
        <w:rPr>
          <w:rFonts w:ascii="Arial" w:cs="Arial" w:eastAsia="Arial" w:hAnsi="Arial"/>
          <w:sz w:val="20"/>
          <w:szCs w:val="20"/>
        </w:rPr>
        <w:t xml:space="preserve">The industry benchmarks energy performance as usage per square foot. This is incorrect. Energy is used to heat and cool cubic volume, not floor area.</w:t>
      </w:r>
    </w:p>
    <w:p>
      <w:pPr>
        <w:pStyle w:val="ListParagraph"/>
        <w:numPr>
          <w:ilvl w:val="0"/>
          <w:numId w:val="2"/>
        </w:numPr>
        <w:spacing w:after="80"/>
      </w:pPr>
      <w:r>
        <w:rPr>
          <w:rFonts w:ascii="Arial" w:cs="Arial" w:eastAsia="Arial" w:hAnsi="Arial"/>
          <w:sz w:val="20"/>
          <w:szCs w:val="20"/>
        </w:rPr>
        <w:t xml:space="preserve">A hotel lobby and an office floor of identical square footage have entirely different energy profiles because the hotel lobby is a large open volume.</w:t>
      </w:r>
    </w:p>
    <w:p>
      <w:pPr>
        <w:pStyle w:val="ListParagraph"/>
        <w:numPr>
          <w:ilvl w:val="0"/>
          <w:numId w:val="2"/>
        </w:numPr>
        <w:spacing w:after="80"/>
      </w:pPr>
      <w:r>
        <w:rPr>
          <w:rFonts w:ascii="Arial" w:cs="Arial" w:eastAsia="Arial" w:hAnsi="Arial"/>
          <w:sz w:val="20"/>
          <w:szCs w:val="20"/>
        </w:rPr>
        <w:t xml:space="preserve">The reason the industry uses square footage is that it’s how real estate is sold — not because it’s the right unit. Walt called this “laziness.”</w:t>
      </w:r>
    </w:p>
    <w:p>
      <w:pPr>
        <w:spacing w:after="120"/>
      </w:pPr>
      <w:r>
        <w:rPr>
          <w:rFonts w:ascii="Arial" w:cs="Arial" w:eastAsia="Arial" w:hAnsi="Arial"/>
          <w:b w:val="false"/>
          <w:bCs w:val="false"/>
          <w:sz w:val="20"/>
          <w:szCs w:val="20"/>
        </w:rPr>
        <w:t xml:space="preserve">Implication for Clear Current: if the platform’s benchmarking or peer comparison features use standard square footage metrics, they will inherit this industry flaw. Flagging ceiling height or building type as a normalization variable would differentiate the product from every existing tool.</w:t>
      </w:r>
    </w:p>
    <w:p>
      <w:pPr>
        <w:spacing w:after="200"/>
      </w:pPr>
    </w:p>
    <w:p>
      <w:pPr>
        <w:spacing w:after="120" w:before="300"/>
      </w:pPr>
      <w:r>
        <w:rPr>
          <w:rFonts w:ascii="Arial" w:cs="Arial" w:eastAsia="Arial" w:hAnsi="Arial"/>
          <w:b/>
          <w:bCs/>
          <w:color w:val="0A1628"/>
          <w:sz w:val="26"/>
          <w:szCs w:val="26"/>
        </w:rPr>
        <w:t xml:space="preserve">7. Key Quotes</w:t>
      </w:r>
    </w:p>
    <w:p>
      <w:pPr>
        <w:pBdr>
          <w:bottom w:val="single" w:color="0A1628" w:sz="4" w:space="1"/>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gridSpan w:val="1"/>
            <w:tcBorders>
              <w:top w:val="single" w:color="CCCCCC" w:sz="1"/>
              <w:left w:val="single" w:color="CCCCCC" w:sz="1"/>
              <w:bottom w:val="single" w:color="CCCCCC" w:sz="1"/>
              <w:right w:val="single" w:color="CCCCCC" w:sz="1"/>
            </w:tcBorders>
            <w:shd w:fill="FEF9E0" w:val="clear"/>
            <w:tcMar>
              <w:top w:type="dxa" w:w="120"/>
              <w:left w:type="dxa" w:w="160"/>
              <w:bottom w:type="dxa" w:w="120"/>
              <w:right w:type="dxa" w:w="160"/>
            </w:tcMar>
          </w:tcPr>
          <w:p>
            <w:r>
              <w:rPr>
                <w:rFonts w:ascii="Arial" w:cs="Arial" w:eastAsia="Arial" w:hAnsi="Arial"/>
                <w:b/>
                <w:bCs/>
                <w:color w:val="0A1628"/>
                <w:sz w:val="20"/>
                <w:szCs w:val="20"/>
              </w:rPr>
              <w:t xml:space="preserve">“NG actually uses Arcadia to get their electronic bills and then they get the paper bills mailed to them and they run through the OCR.”</w:t>
            </w:r>
          </w:p>
          <w:p>
            <w:r>
              <w:rPr>
                <w:rFonts w:ascii="Arial" w:cs="Arial" w:eastAsia="Arial" w:hAnsi="Arial"/>
                <w:color w:val="555555"/>
                <w:sz w:val="18"/>
                <w:szCs w:val="18"/>
              </w:rPr>
              <w:t xml:space="preserve">— On ENGIE Impact’s data architecture</w:t>
            </w:r>
          </w:p>
        </w:tc>
      </w:tr>
      <w:tr>
        <w:tc>
          <w:tcPr>
            <w:tcW w:type="dxa" w:w="10080"/>
            <w:gridSpan w:val="1"/>
            <w:tcBorders>
              <w:top w:val="single" w:color="CCCCCC" w:sz="1"/>
              <w:left w:val="single" w:color="CCCCCC" w:sz="1"/>
              <w:bottom w:val="single" w:color="CCCCCC" w:sz="1"/>
              <w:right w:val="single" w:color="CCCCCC" w:sz="1"/>
            </w:tcBorders>
            <w:shd w:fill="FEF9E0" w:val="clear"/>
            <w:tcMar>
              <w:top w:type="dxa" w:w="120"/>
              <w:left w:type="dxa" w:w="160"/>
              <w:bottom w:type="dxa" w:w="120"/>
              <w:right w:type="dxa" w:w="160"/>
            </w:tcMar>
          </w:tcPr>
          <w:p>
            <w:r>
              <w:rPr>
                <w:rFonts w:ascii="Arial" w:cs="Arial" w:eastAsia="Arial" w:hAnsi="Arial"/>
                <w:b/>
                <w:bCs/>
                <w:color w:val="0A1628"/>
                <w:sz w:val="20"/>
                <w:szCs w:val="20"/>
              </w:rPr>
              <w:t xml:space="preserve">“Even at that point, their OCR recognition doesn’t work 100% of the time. You’re never going to catch every mistake. So what we shoot to do is try to catch 90% of them.”</w:t>
            </w:r>
          </w:p>
          <w:p>
            <w:r>
              <w:rPr>
                <w:rFonts w:ascii="Arial" w:cs="Arial" w:eastAsia="Arial" w:hAnsi="Arial"/>
                <w:color w:val="555555"/>
                <w:sz w:val="18"/>
                <w:szCs w:val="18"/>
              </w:rPr>
              <w:t xml:space="preserve">— On the limitations of ENGIE’s bill processing</w:t>
            </w:r>
          </w:p>
        </w:tc>
      </w:tr>
      <w:tr>
        <w:tc>
          <w:tcPr>
            <w:tcW w:type="dxa" w:w="10080"/>
            <w:gridSpan w:val="1"/>
            <w:tcBorders>
              <w:top w:val="single" w:color="CCCCCC" w:sz="1"/>
              <w:left w:val="single" w:color="CCCCCC" w:sz="1"/>
              <w:bottom w:val="single" w:color="CCCCCC" w:sz="1"/>
              <w:right w:val="single" w:color="CCCCCC" w:sz="1"/>
            </w:tcBorders>
            <w:shd w:fill="FEF9E0" w:val="clear"/>
            <w:tcMar>
              <w:top w:type="dxa" w:w="120"/>
              <w:left w:type="dxa" w:w="160"/>
              <w:bottom w:type="dxa" w:w="120"/>
              <w:right w:type="dxa" w:w="160"/>
            </w:tcMar>
          </w:tcPr>
          <w:p>
            <w:r>
              <w:rPr>
                <w:rFonts w:ascii="Arial" w:cs="Arial" w:eastAsia="Arial" w:hAnsi="Arial"/>
                <w:b/>
                <w:bCs/>
                <w:color w:val="0A1628"/>
                <w:sz w:val="20"/>
                <w:szCs w:val="20"/>
              </w:rPr>
              <w:t xml:space="preserve">“It would be much better if, since NG already houses all that data, they would just work with Anthropic or whoever and bolt you on.”</w:t>
            </w:r>
          </w:p>
          <w:p>
            <w:r>
              <w:rPr>
                <w:rFonts w:ascii="Arial" w:cs="Arial" w:eastAsia="Arial" w:hAnsi="Arial"/>
                <w:color w:val="555555"/>
                <w:sz w:val="18"/>
                <w:szCs w:val="18"/>
              </w:rPr>
              <w:t xml:space="preserve">— On why ENGIE adding an LLM is the obvious next move</w:t>
            </w:r>
          </w:p>
        </w:tc>
      </w:tr>
      <w:tr>
        <w:tc>
          <w:tcPr>
            <w:tcW w:type="dxa" w:w="10080"/>
            <w:gridSpan w:val="1"/>
            <w:tcBorders>
              <w:top w:val="single" w:color="CCCCCC" w:sz="1"/>
              <w:left w:val="single" w:color="CCCCCC" w:sz="1"/>
              <w:bottom w:val="single" w:color="CCCCCC" w:sz="1"/>
              <w:right w:val="single" w:color="CCCCCC" w:sz="1"/>
            </w:tcBorders>
            <w:shd w:fill="FEF9E0" w:val="clear"/>
            <w:tcMar>
              <w:top w:type="dxa" w:w="120"/>
              <w:left w:type="dxa" w:w="160"/>
              <w:bottom w:type="dxa" w:w="120"/>
              <w:right w:type="dxa" w:w="160"/>
            </w:tcMar>
          </w:tcPr>
          <w:p>
            <w:r>
              <w:rPr>
                <w:rFonts w:ascii="Arial" w:cs="Arial" w:eastAsia="Arial" w:hAnsi="Arial"/>
                <w:b/>
                <w:bCs/>
                <w:color w:val="0A1628"/>
                <w:sz w:val="20"/>
                <w:szCs w:val="20"/>
              </w:rPr>
              <w:t xml:space="preserve">“Writing code does the same thing every time and you get the same result every time. That’s not how it is when you’re looking at utility bills and usage and all the different things.”</w:t>
            </w:r>
          </w:p>
          <w:p>
            <w:r>
              <w:rPr>
                <w:rFonts w:ascii="Arial" w:cs="Arial" w:eastAsia="Arial" w:hAnsi="Arial"/>
                <w:color w:val="555555"/>
                <w:sz w:val="18"/>
                <w:szCs w:val="18"/>
              </w:rPr>
              <w:t xml:space="preserve">— On why energy AI is harder than it looks</w:t>
            </w:r>
          </w:p>
        </w:tc>
      </w:tr>
      <w:tr>
        <w:tc>
          <w:tcPr>
            <w:tcW w:type="dxa" w:w="10080"/>
            <w:gridSpan w:val="1"/>
            <w:tcBorders>
              <w:top w:val="single" w:color="CCCCCC" w:sz="1"/>
              <w:left w:val="single" w:color="CCCCCC" w:sz="1"/>
              <w:bottom w:val="single" w:color="CCCCCC" w:sz="1"/>
              <w:right w:val="single" w:color="CCCCCC" w:sz="1"/>
            </w:tcBorders>
            <w:shd w:fill="FEF9E0" w:val="clear"/>
            <w:tcMar>
              <w:top w:type="dxa" w:w="120"/>
              <w:left w:type="dxa" w:w="160"/>
              <w:bottom w:type="dxa" w:w="120"/>
              <w:right w:type="dxa" w:w="160"/>
            </w:tcMar>
          </w:tcPr>
          <w:p>
            <w:r>
              <w:rPr>
                <w:rFonts w:ascii="Arial" w:cs="Arial" w:eastAsia="Arial" w:hAnsi="Arial"/>
                <w:b/>
                <w:bCs/>
                <w:color w:val="0A1628"/>
                <w:sz w:val="20"/>
                <w:szCs w:val="20"/>
              </w:rPr>
              <w:t xml:space="preserve">“Square footage has nothing to do with how much energy. It’s your cubic footage that has everything to do with how much energy is used, because you don’t heat a space by the floor. You heat a space like a cube.”</w:t>
            </w:r>
          </w:p>
          <w:p>
            <w:r>
              <w:rPr>
                <w:rFonts w:ascii="Arial" w:cs="Arial" w:eastAsia="Arial" w:hAnsi="Arial"/>
                <w:color w:val="555555"/>
                <w:sz w:val="18"/>
                <w:szCs w:val="18"/>
              </w:rPr>
              <w:t xml:space="preserve">— On the fundamental flaw in energy benchmarking</w:t>
            </w:r>
          </w:p>
        </w:tc>
      </w:tr>
      <w:tr>
        <w:tc>
          <w:tcPr>
            <w:tcW w:type="dxa" w:w="10080"/>
            <w:gridSpan w:val="1"/>
            <w:tcBorders>
              <w:top w:val="single" w:color="CCCCCC" w:sz="1"/>
              <w:left w:val="single" w:color="CCCCCC" w:sz="1"/>
              <w:bottom w:val="single" w:color="CCCCCC" w:sz="1"/>
              <w:right w:val="single" w:color="CCCCCC" w:sz="1"/>
            </w:tcBorders>
            <w:shd w:fill="FEF9E0" w:val="clear"/>
            <w:tcMar>
              <w:top w:type="dxa" w:w="120"/>
              <w:left w:type="dxa" w:w="160"/>
              <w:bottom w:type="dxa" w:w="120"/>
              <w:right w:type="dxa" w:w="160"/>
            </w:tcMar>
          </w:tcPr>
          <w:p>
            <w:r>
              <w:rPr>
                <w:rFonts w:ascii="Arial" w:cs="Arial" w:eastAsia="Arial" w:hAnsi="Arial"/>
                <w:b/>
                <w:bCs/>
                <w:color w:val="0A1628"/>
                <w:sz w:val="20"/>
                <w:szCs w:val="20"/>
              </w:rPr>
              <w:t xml:space="preserve">“A lot of times, utilities just believe they’re right about everything and don’t want to talk to you about it.”</w:t>
            </w:r>
          </w:p>
          <w:p>
            <w:r>
              <w:rPr>
                <w:rFonts w:ascii="Arial" w:cs="Arial" w:eastAsia="Arial" w:hAnsi="Arial"/>
                <w:color w:val="555555"/>
                <w:sz w:val="18"/>
                <w:szCs w:val="18"/>
              </w:rPr>
              <w:t xml:space="preserve">— On the challenge of disputing billing errors with utilities</w:t>
            </w:r>
          </w:p>
        </w:tc>
      </w:tr>
    </w:tbl>
    <w:p>
      <w:pPr>
        <w:spacing w:after="200"/>
      </w:pPr>
    </w:p>
    <w:p>
      <w:pPr>
        <w:pBdr>
          <w:top w:val="single" w:color="0A1628" w:sz="4" w:space="4"/>
        </w:pBdr>
        <w:spacing w:before="160"/>
        <w:jc w:val="center"/>
      </w:pPr>
      <w:r>
        <w:rPr>
          <w:rFonts w:ascii="Arial" w:cs="Arial" w:eastAsia="Arial" w:hAnsi="Arial"/>
          <w:color w:val="888888"/>
          <w:sz w:val="16"/>
          <w:szCs w:val="16"/>
        </w:rPr>
        <w:t xml:space="preserve">Confidential | MBA Research Engagement — Texas A&amp;M Mays Business School</w:t>
      </w:r>
    </w:p>
    <w:p>
      <w:pPr>
        <w:jc w:val="center"/>
      </w:pPr>
      <w:r>
        <w:rPr>
          <w:rFonts w:ascii="Arial" w:cs="Arial" w:eastAsia="Arial" w:hAnsi="Arial"/>
          <w:color w:val="888888"/>
          <w:sz w:val="16"/>
          <w:szCs w:val="16"/>
        </w:rPr>
        <w:t xml:space="preserve">CDL-Texas Energy Stream | Clear Current Technologies | Clayton Hester, Jason Wisnieski, Adam Case, Victor Pan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2026-04-16T20:01:49.921Z</dcterms:created>
  <dcterms:modified xsi:type="dcterms:W3CDTF">2026-04-16T20:01:49.922Z</dcterms:modified>
</cp:coreProperties>
</file>

<file path=docProps/custom.xml><?xml version="1.0" encoding="utf-8"?>
<Properties xmlns="http://schemas.openxmlformats.org/officeDocument/2006/custom-properties" xmlns:vt="http://schemas.openxmlformats.org/officeDocument/2006/docPropsVTypes"/>
</file>