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Parity and AD specific neurodegeneration</w:t>
      </w:r>
    </w:p>
    <w:p>
      <w:pPr>
        <w:pStyle w:val="Author"/>
      </w:pPr>
      <w:r>
        <w:t xml:space="preserve">Clazz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1. Abstract</w:t>
      </w:r>
    </w:p>
    <w:p>
      <w:pPr>
        <w:pStyle w:val="FirstParagraph"/>
      </w:pPr>
      <w:r>
        <w:t xml:space="preserve">Background and objectives: Epidemiological studies exploring the effect of parity on Alzheimer’s Disease (AD) yield mixed results, and little is known about how parity may modify the impact of AD pathology on brain and cognitive aging. We examined the effect of parity and AD pathology on cognitive and hippocampal volume (HV) changes in cognitively unimpaired (CU) postmenopausal women.</w:t>
      </w:r>
    </w:p>
    <w:p>
      <w:pPr>
        <w:pStyle w:val="BodyText"/>
      </w:pPr>
      <w:r>
        <w:t xml:space="preserve">Methods: We included 254 CU postmenopausal women from the ALFA+ study who completed two visits spaced by ~3 years (mean = 3.38, sd = 0.55) with reproductive data, cognitive testing (Preclinical Alzheimer Cognitive Composite), CSF biomarkers (Aβ42 and Aβ40), and structural MRI. We used linear mixed-effects models to investigate the interactive effects of parity, time, and Aβ status (based on CSF Aβ42/Aβ40) on cognition and HV. APOE-ε4 status, age, and total intracranial volume were included as covariates.</w:t>
      </w:r>
    </w:p>
    <w:p>
      <w:pPr>
        <w:pStyle w:val="BodyText"/>
      </w:pPr>
      <w:r>
        <w:t xml:space="preserve">Results: A significant interaction was observed between parity and Aβ status on cognitive decline and HV. In women with a positive amyloid status, higher parity was associated with a steeper cognitive decline (p=0.033) and lower HV across timepoints (p = 0.036). Sensitivity analyses indicated that multiparous (2+ childbirths) women showed the strongest association between Aβ status and these outcome variables. Mediation analyses showed that in multiparous women, the effect of Aβ status on cognition is partly mediated by HV.</w:t>
      </w:r>
    </w:p>
    <w:p>
      <w:pPr>
        <w:pStyle w:val="BodyText"/>
      </w:pPr>
      <w:r>
        <w:t xml:space="preserve">Discussion: In CU postmenopausal women, higher parity interacts with AD pathology to negatively influence cognitive changes and hippocampal volume. These findings suggest that parity impacts the resilience to AD pathology in preclinical AD stages.</w:t>
      </w:r>
    </w:p>
    <w:bookmarkEnd w:id="20"/>
    <w:bookmarkStart w:id="21" w:name="introduction"/>
    <w:p>
      <w:pPr>
        <w:pStyle w:val="Heading1"/>
      </w:pPr>
      <w:r>
        <w:t xml:space="preserve">2. Introduction</w:t>
      </w:r>
    </w:p>
    <w:p>
      <w:pPr>
        <w:pStyle w:val="FirstParagraph"/>
      </w:pPr>
      <w:r>
        <w:t xml:space="preserve">Alzheimer’s disease (AD) is a neurodegenerative disorder characterized by the accumulation of pathophysiological abnormalities leading to neurodegeneration and progressive memory loss. β-amyloid (Aβ) protein accumulation, a hallmark neuropathological marker of AD, is thought to trigger a pathological cascade, leading to further accumulation of tau protein, neurodegeneration, and cognitive impairment</w:t>
      </w:r>
      <w:r>
        <w:t xml:space="preserve"> </w:t>
      </w:r>
      <w:r>
        <w:t xml:space="preserve">[1]</w:t>
      </w:r>
      <w:r>
        <w:t xml:space="preserve">. This pathological process particularly affects the hippocampus early in the disease course, making hippocampal volume (HV) a hallmark predictor of cognitive decline in AD</w:t>
      </w:r>
      <w:r>
        <w:t xml:space="preserve"> </w:t>
      </w:r>
      <w:r>
        <w:t xml:space="preserve">[2]</w:t>
      </w:r>
      <w:r>
        <w:t xml:space="preserve">. Being biologically female is one of the main non-modifiable risk factors for AD</w:t>
      </w:r>
      <w:r>
        <w:t xml:space="preserve"> </w:t>
      </w:r>
      <w:r>
        <w:t xml:space="preserve">[3]</w:t>
      </w:r>
      <w:r>
        <w:t xml:space="preserve">. Females who develop AD show a worse cognitive trajectory after mild cognitive impairment (MCI) diagnosis</w:t>
      </w:r>
      <w:r>
        <w:t xml:space="preserve"> </w:t>
      </w:r>
      <w:r>
        <w:t xml:space="preserve">[4]</w:t>
      </w:r>
      <w:r>
        <w:t xml:space="preserve">, faster atrophy rate in the hippocampus</w:t>
      </w:r>
      <w:r>
        <w:t xml:space="preserve"> </w:t>
      </w:r>
      <w:r>
        <w:t xml:space="preserve">[5]</w:t>
      </w:r>
      <w:r>
        <w:t xml:space="preserve">, and may benefit less from amyloid-antibody based therapies</w:t>
      </w:r>
      <w:r>
        <w:t xml:space="preserve"> </w:t>
      </w:r>
      <w:r>
        <w:t xml:space="preserve">[6]</w:t>
      </w:r>
      <w:r>
        <w:t xml:space="preserve">. These differences in pathology suggest that sex-dependent pathways or biological processes may drive distinct pathological trajectories. In particular, pregnancy is a female-specific event whose long-term effect on the brain remains poorly understood.</w:t>
      </w:r>
    </w:p>
    <w:p>
      <w:pPr>
        <w:pStyle w:val="BodyText"/>
      </w:pPr>
      <w:r>
        <w:t xml:space="preserve">Pregnancy is a complex biological process which provokes significant changes to hippocampal structure and volume</w:t>
      </w:r>
      <w:r>
        <w:t xml:space="preserve"> </w:t>
      </w:r>
      <w:r>
        <w:t xml:space="preserve">[7]</w:t>
      </w:r>
      <w:r>
        <w:t xml:space="preserve">. Animal models show decreased neurogenesis in the hippocampus during gestation and the postpartum period</w:t>
      </w:r>
      <w:r>
        <w:t xml:space="preserve"> </w:t>
      </w:r>
      <w:r>
        <w:t xml:space="preserve">[8,9]</w:t>
      </w:r>
      <w:r>
        <w:t xml:space="preserve">. Whilst clinical evidence suggests that gestation negatively affects HV up to at least 6 years postpartum</w:t>
      </w:r>
      <w:r>
        <w:t xml:space="preserve"> </w:t>
      </w:r>
      <w:r>
        <w:t xml:space="preserve">[10]</w:t>
      </w:r>
      <w:r>
        <w:t xml:space="preserve">, whether this effect persists in older adults is unknown. These potentially long-lasting structural alterations may be particularly consequential in the context of early AD pathogenesis in which HV is also affected</w:t>
      </w:r>
      <w:r>
        <w:t xml:space="preserve"> </w:t>
      </w:r>
      <w:r>
        <w:t xml:space="preserve">[11]</w:t>
      </w:r>
      <w:r>
        <w:t xml:space="preserve">. Therefore, parity-induced alterations to the hippocampus may create a neurobiological context that alters the extent to which AD pathology affects cognitive trajectories and hippocampal volume in later life.</w:t>
      </w:r>
    </w:p>
    <w:p>
      <w:pPr>
        <w:pStyle w:val="BodyText"/>
      </w:pPr>
      <w:r>
        <w:t xml:space="preserve">The effect of parity on AD risk and cognitive decline remains poorly understood, and existing evidence paints a complex picture. Some epidemiological studies suggest a potential association between grand multiparity (i.e., having 4+ children) and increased risk of AD-related cognitive impairment</w:t>
      </w:r>
      <w:r>
        <w:t xml:space="preserve"> </w:t>
      </w:r>
      <w:r>
        <w:t xml:space="preserve">[12]</w:t>
      </w:r>
      <w:r>
        <w:t xml:space="preserve">;</w:t>
      </w:r>
      <w:r>
        <w:t xml:space="preserve"> </w:t>
      </w:r>
      <w:r>
        <w:t xml:space="preserve">[13]</w:t>
      </w:r>
      <w:r>
        <w:t xml:space="preserve">. However, others have shown no association</w:t>
      </w:r>
      <w:r>
        <w:t xml:space="preserve"> </w:t>
      </w:r>
      <w:r>
        <w:t xml:space="preserve">[14]</w:t>
      </w:r>
      <w:r>
        <w:t xml:space="preserve">, the opposite association</w:t>
      </w:r>
      <w:r>
        <w:t xml:space="preserve"> </w:t>
      </w:r>
      <w:r>
        <w:t xml:space="preserve">[15]</w:t>
      </w:r>
      <w:r>
        <w:t xml:space="preserve">, or a non-linear effect showing that, in addition to gran multiparity, nulliparity might also be associated with worse AD-related outcomes</w:t>
      </w:r>
      <w:r>
        <w:t xml:space="preserve"> </w:t>
      </w:r>
      <w:r>
        <w:t xml:space="preserve">[16]</w:t>
      </w:r>
      <w:r>
        <w:t xml:space="preserve">. Recent evidence indicates that parity modulates women’s cognitive performance differently depending on their disease status. Specifically, a recent cross-sectional study of 446 women (207 CU, 155 mild cognitive impairment, and 84 clinically diagnosed dementia) found that higher parity was associated with enhanced executive function but reduced episodic memory only among the women with dementia and not the cognitively healthy women</w:t>
      </w:r>
      <w:r>
        <w:t xml:space="preserve"> </w:t>
      </w:r>
      <w:r>
        <w:t xml:space="preserve">[17]</w:t>
      </w:r>
      <w:r>
        <w:t xml:space="preserve">.</w:t>
      </w:r>
    </w:p>
    <w:p>
      <w:pPr>
        <w:pStyle w:val="BodyText"/>
      </w:pPr>
      <w:r>
        <w:t xml:space="preserve">However, these studies did not include AD-specific biomarkers, meaning disease etiology was uncertain and prevented examination of how parity may influence cognitive and structural trajectories earlier in the AD trajectory. To our knowledge, only two studies have included AD biomarkers or neuropathological change as dependent variables, with mixed results. A post-mortem histopathological study of 42 women spanning the neuropathological spectrum from normal aging to definite AD found that multiparity was associated with a greater number of neuritic plaques</w:t>
      </w:r>
      <w:r>
        <w:t xml:space="preserve"> </w:t>
      </w:r>
      <w:r>
        <w:t xml:space="preserve">[18]</w:t>
      </w:r>
      <w:r>
        <w:t xml:space="preserve">. However, analysis using Aβ-PET data from 248 women who were either CU or had clinically diagnosed MCI found no association between Aβ burden and parity or multiparity</w:t>
      </w:r>
      <w:r>
        <w:t xml:space="preserve"> </w:t>
      </w:r>
      <w:r>
        <w:t xml:space="preserve">[19]</w:t>
      </w:r>
      <w:r>
        <w:t xml:space="preserve">. These inconsistent findings and the lack of examining whether parity interacts with Aβ pathology to affect other brain or cognitive outcomes, highlight the need for a more nuanced examination of the interplay between parity and AD pathology in women in the AD preclinical stage.</w:t>
      </w:r>
    </w:p>
    <w:p>
      <w:pPr>
        <w:pStyle w:val="BodyText"/>
      </w:pPr>
      <w:r>
        <w:t xml:space="preserve">To elucidate the aforementioned landscape of mixed results, we investigated the interplay between parity, Aβ status, cognition and HV in postmenopausal cognitively unimpaired women. We hypothesized that, rather than a direct association of parity to Aβ load, parity would interact with Aβ load in its association with HV and cognitive decline.</w:t>
      </w:r>
    </w:p>
    <w:bookmarkEnd w:id="21"/>
    <w:bookmarkStart w:id="28" w:name="methods"/>
    <w:p>
      <w:pPr>
        <w:pStyle w:val="Heading1"/>
      </w:pPr>
      <w:r>
        <w:t xml:space="preserve">3. Methods</w:t>
      </w:r>
    </w:p>
    <w:bookmarkStart w:id="22" w:name="study-population"/>
    <w:p>
      <w:pPr>
        <w:pStyle w:val="Heading2"/>
      </w:pPr>
      <w:r>
        <w:t xml:space="preserve">3.1 Study population</w:t>
      </w:r>
    </w:p>
    <w:p>
      <w:pPr>
        <w:pStyle w:val="FirstParagraph"/>
      </w:pPr>
      <w:r>
        <w:t xml:space="preserve">We included postmenopausal women who completed the baseline and first longitudinal visit (with an average time between visits of 3.32 years) from the ongoing ALFA+ study (Clinicaltrials.gov, NCT01835717). ALFA+ is a research cohort of middle-aged cognitively unimpaired participants, many of whom are offspring of AD patients, who have been deeply characterized by clinical interviews, lifestyle and risk factor questionnaires, cognitive testing, CSF biomarkers, and neuroimaging procedures, including magnetic resonance imaging (MRI), and Aβ positron emission tomography (PET). All of these procedures are repeated every 3 years with the main aim of identifying the earliest pathophysiological changes in the preclinical AD continuum</w:t>
      </w:r>
      <w:r>
        <w:t xml:space="preserve"> </w:t>
      </w:r>
      <w:r>
        <w:t xml:space="preserve">[20]</w:t>
      </w:r>
      <w:r>
        <w:t xml:space="preserve">. Briefly, ALFA+ inclusion criteria were: 1) participants who had previously participated in the 45-65/FPM2012 study (ALFA parent cohort); 2) age between 45 and 75 years at the moment of inclusion in the cohort; 3) long-term commitment to undergo all tests and study procedures (MRI, PET, and lumbar puncture). Exclusion criteria at baseline included: 1) cognitive impairment (Clinical Dementia Rating [CDR] &gt; 0, Mini-Mental State Examination [MMSE] &lt; 26, semantic fluency &lt; 12); 2) any significant systemic illness or unstable medical condition which could lead to difficulty complying with the protocol; 3) any contraindication to any test or procedure; 4) family history of monogenic AD. In addition, women with a history of cardiovascular-related gestational disease, such as preeclampsia, were excluded from our sample for analysis. Sex and menopausal status, defined as absence of menstruations for 12 consecutive months, were self disclosed. Women who reported being premenopausal or perimenopausal were not included in our analysis either.</w:t>
      </w:r>
    </w:p>
    <w:p>
      <w:pPr>
        <w:pStyle w:val="BodyText"/>
      </w:pPr>
      <w:r>
        <w:t xml:space="preserve">The study was approved by the Independent Ethics Committee</w:t>
      </w:r>
      <w:r>
        <w:t xml:space="preserve"> </w:t>
      </w:r>
      <w:r>
        <w:t xml:space="preserve">“Parc de Salut Mar”</w:t>
      </w:r>
      <w:r>
        <w:t xml:space="preserve">, Barcelona, and all participants gave written informed consent. Baseline visits took place between 2016 and 2019, and the follow-up visit between 2019 and 2022.</w:t>
      </w:r>
    </w:p>
    <w:p>
      <w:pPr>
        <w:pStyle w:val="BodyText"/>
      </w:pPr>
      <w:r>
        <w:t xml:space="preserve">The sample consisted of 254 participants at baseline visit, and 211 at follow-up (Table 1). Out of the 43 participants who dropped out of the study between visits, 30 withdrew for personal reasons, 3 became unresponsive, 2 died, 5 showed incidental l findings on their structural MRI, and 3 were excluded due to mild cognitive impairment clinical diagnosis.</w:t>
      </w:r>
    </w:p>
    <w:bookmarkEnd w:id="22"/>
    <w:bookmarkStart w:id="23" w:name="reproductive-history-variables"/>
    <w:p>
      <w:pPr>
        <w:pStyle w:val="Heading2"/>
      </w:pPr>
      <w:r>
        <w:t xml:space="preserve">3.2 Reproductive history variables</w:t>
      </w:r>
    </w:p>
    <w:p>
      <w:pPr>
        <w:pStyle w:val="FirstParagraph"/>
      </w:pPr>
      <w:r>
        <w:t xml:space="preserve">Parity was defined as the number of biological children and used as a continuous variable in the main analyses and as a categorical variable in sensitivity analyses. When categorical, parous groups were defined as follows: nulliparous (0 childbirths), primiparous (1 childbirth), and multiparous (2+ childbirths). This information was self-reported by individuals during an interview with a clinician at the baseline visit.</w:t>
      </w:r>
    </w:p>
    <w:bookmarkEnd w:id="23"/>
    <w:bookmarkStart w:id="24" w:name="cognitive-measures"/>
    <w:p>
      <w:pPr>
        <w:pStyle w:val="Heading2"/>
      </w:pPr>
      <w:r>
        <w:t xml:space="preserve">3.3 Cognitive measures</w:t>
      </w:r>
    </w:p>
    <w:p>
      <w:pPr>
        <w:pStyle w:val="FirstParagraph"/>
      </w:pPr>
      <w:r>
        <w:t xml:space="preserve">A modified Preclinical Alzheimer’s cognitive composite (mPACC) was the main cognitive outcome of this study and was computed, including the Total Paired Recall (TPR) and Total Delayed Free Recall scores of the Memory Binding Test</w:t>
      </w:r>
      <w:r>
        <w:t xml:space="preserve"> </w:t>
      </w:r>
      <w:r>
        <w:t xml:space="preserve">[21]</w:t>
      </w:r>
      <w:r>
        <w:t xml:space="preserve">, the Coding subtest of the Wechsler Adult Intelligence Scale-Fourth Edition (WAIS-IV), and semantic fluency, as defined in previous works</w:t>
      </w:r>
      <w:r>
        <w:t xml:space="preserve"> </w:t>
      </w:r>
      <w:r>
        <w:t xml:space="preserve">[22]</w:t>
      </w:r>
      <w:r>
        <w:t xml:space="preserve">. Z-scores were computed for Visit 1 and 2 and used in the linear regressions. When using score difference between visit 1 and 2 for the mediation analysis, change was computed by subtracting baseline scores from follow-up.</w:t>
      </w:r>
    </w:p>
    <w:bookmarkEnd w:id="24"/>
    <w:bookmarkStart w:id="25" w:name="ad-biomarkers"/>
    <w:p>
      <w:pPr>
        <w:pStyle w:val="Heading2"/>
      </w:pPr>
      <w:r>
        <w:t xml:space="preserve">3.4 AD biomarkers</w:t>
      </w:r>
    </w:p>
    <w:p>
      <w:pPr>
        <w:pStyle w:val="FirstParagraph"/>
      </w:pPr>
      <w:r>
        <w:t xml:space="preserve">CSF collection, processing, and storage in the ALFA+ study have been described previously</w:t>
      </w:r>
      <w:r>
        <w:t xml:space="preserve"> </w:t>
      </w:r>
      <w:r>
        <w:t xml:space="preserve">[23]</w:t>
      </w:r>
      <w:r>
        <w:t xml:space="preserve">. Briefly, CSF Aβ42 and Aβ40 were measured with the exploratory Roche NeuroToolKit immunoassays (Roche Diagnostics International Ltd, Rotkreuz, Switzerland) on a cobas e 601 module. Measurements were performed at the Clinical Neurochemistry Laboratory, Sahlgrenska University Hospital, Molndal, Sweden. Aß status (Aß+, Aß–) was defined using the cutoff of 0.071 for the ratio Aß42/40</w:t>
      </w:r>
      <w:r>
        <w:t xml:space="preserve"> </w:t>
      </w:r>
      <w:r>
        <w:t xml:space="preserve">[23]</w:t>
      </w:r>
      <w:r>
        <w:t xml:space="preserve">, where any participant below this cutoff was considered to be Aβ+.</w:t>
      </w:r>
    </w:p>
    <w:bookmarkEnd w:id="25"/>
    <w:bookmarkStart w:id="26" w:name="Xb6c4670338bfba47b4829a1d3d195d84661b833"/>
    <w:p>
      <w:pPr>
        <w:pStyle w:val="Heading2"/>
      </w:pPr>
      <w:r>
        <w:t xml:space="preserve">3.5 Imaging data acquisition and preprocessing</w:t>
      </w:r>
    </w:p>
    <w:p>
      <w:pPr>
        <w:pStyle w:val="FirstParagraph"/>
      </w:pPr>
      <w:r>
        <w:t xml:space="preserve">Automatic Segmentation of Hippocampal Subfields (ASHS) software</w:t>
      </w:r>
      <w:r>
        <w:t xml:space="preserve"> </w:t>
      </w:r>
      <w:r>
        <w:t xml:space="preserve">[24]</w:t>
      </w:r>
      <w:r>
        <w:t xml:space="preserve"> </w:t>
      </w:r>
      <w:r>
        <w:t xml:space="preserve">was used on the T1, T2 and inversion recovery (IR) weighted images to segment the hippocampal formation in the following sub-regions: Brodmann areas 35 and 36, cornu Ammonis (CA) 1, 2 and 3, dentate gyrus (DG), entorhinal cortex (ERC), parahippocampal cortex (PHC), subiculum (SUB), and the hippocampal sulcus (SUL). All segmentations were visually inspected before proceeding with the statistical analyses.</w:t>
      </w:r>
    </w:p>
    <w:p>
      <w:pPr>
        <w:pStyle w:val="BodyText"/>
      </w:pPr>
      <w:r>
        <w:t xml:space="preserve">Hippocampal values are reported in cm3 and were obtained at both baseline and follow-up visits.</w:t>
      </w:r>
    </w:p>
    <w:p>
      <w:pPr>
        <w:pStyle w:val="BodyText"/>
      </w:pPr>
      <w:r>
        <w:t xml:space="preserve">Total Intracranial volume (TIV) was estimated using deformation fields obtained during the nonlinear registration of each subject’s T1-weighted MRI to a whole-brain template. The FSL Brain Extraction Tool</w:t>
      </w:r>
      <w:r>
        <w:t xml:space="preserve"> </w:t>
      </w:r>
      <w:r>
        <w:t xml:space="preserve">[25]</w:t>
      </w:r>
      <w:r>
        <w:t xml:space="preserve"> </w:t>
      </w:r>
      <w:r>
        <w:t xml:space="preserve">was applied to the template to create an intracranial mask, which was warped into each subject’s MRI at native space to obtain the TIV measurement.</w:t>
      </w:r>
    </w:p>
    <w:bookmarkEnd w:id="26"/>
    <w:bookmarkStart w:id="27" w:name="statistical-analyses"/>
    <w:p>
      <w:pPr>
        <w:pStyle w:val="Heading2"/>
      </w:pPr>
      <w:r>
        <w:t xml:space="preserve">3.6 Statistical analyses</w:t>
      </w:r>
    </w:p>
    <w:p>
      <w:pPr>
        <w:pStyle w:val="FirstParagraph"/>
      </w:pPr>
      <w:r>
        <w:t xml:space="preserve">Using baseline data, we used linear regression models to examine the association between parity (exposure) and Aβ status (outcome).</w:t>
      </w:r>
    </w:p>
    <w:p>
      <w:pPr>
        <w:pStyle w:val="BodyText"/>
      </w:pPr>
      <w:r>
        <w:t xml:space="preserve">We then used linear mixed-effects models to assess the joint effects of parity and Aβ status (exposures), on HV and cognition (outcomes) over both visits, and test if this association is dependent on time. These models included a three-way interaction term among parity, Aβ positivity, and time (the interval between Visit 1 and Visit 2 in years) and all lower-order interactions. Cognitive analyses were adjusted for APOEe4 carriership, years of education, and age at baseline visit. HV analyses were additionally adjusted for scaled TIV.</w:t>
      </w:r>
    </w:p>
    <w:p>
      <w:pPr>
        <w:pStyle w:val="BodyText"/>
      </w:pPr>
      <w:r>
        <w:t xml:space="preserve">Analyses that showed a significant parity x Aβ status interaction were reproduced using parity as a categorical variable to examine if the effect was driven by parity itself or if each additional pregnancy seemed to have a cumulative effect. For all groups we conducted post-hoc comparisons using estimated marginal means. Specifically, pairwise comparisons between parity groups were examined separately within each Aβ status category, with p-values adjusted for multiple comparisons using the Tukey method.</w:t>
      </w:r>
    </w:p>
    <w:p>
      <w:pPr>
        <w:pStyle w:val="BodyText"/>
      </w:pPr>
      <w:r>
        <w:t xml:space="preserve">Additional linear regressions were also performed to explore the interaction between parity and Aβ positivity on individual hippocampal subfield volumes using baseline data. Given the exploratory nature of these analyses, results are reported without correction for multiple comparisons.</w:t>
      </w:r>
    </w:p>
    <w:p>
      <w:pPr>
        <w:pStyle w:val="BodyText"/>
      </w:pPr>
      <w:r>
        <w:t xml:space="preserve">Statistical significance was set at p &lt; 0.05. Analyses were conducted using R software, version 4.5.1 (The R Foundation for Statistical Computing, Vienna, Austria). The package</w:t>
      </w:r>
      <w:r>
        <w:t xml:space="preserve"> </w:t>
      </w:r>
      <w:r>
        <w:t xml:space="preserve">‘emmeans’</w:t>
      </w:r>
      <w:r>
        <w:t xml:space="preserve"> </w:t>
      </w:r>
      <w:r>
        <w:t xml:space="preserve">was used to calculate estimated marginal mean for direct group comparison of predicted effects</w:t>
      </w:r>
      <w:r>
        <w:t xml:space="preserve"> </w:t>
      </w:r>
      <w:r>
        <w:t xml:space="preserve">[26]</w:t>
      </w:r>
      <w:r>
        <w:t xml:space="preserve">. The package MICE was used for missing data imputation</w:t>
      </w:r>
      <w:r>
        <w:t xml:space="preserve"> </w:t>
      </w:r>
      <w:r>
        <w:t xml:space="preserve">[27]</w:t>
      </w:r>
      <w:r>
        <w:t xml:space="preserve">. The package tidiverse was used for data processing and plotting</w:t>
      </w:r>
      <w:r>
        <w:t xml:space="preserve"> </w:t>
      </w:r>
      <w:r>
        <w:t xml:space="preserve">[28]</w:t>
      </w:r>
      <w:r>
        <w:t xml:space="preserve">. The package gtsummary was used for formatting tables</w:t>
      </w:r>
      <w:r>
        <w:t xml:space="preserve"> </w:t>
      </w:r>
      <w:r>
        <w:t xml:space="preserve">[29]</w:t>
      </w:r>
      <w:r>
        <w:t xml:space="preserve">. The package ggeffects was used to extract predicted values from regression models</w:t>
      </w:r>
      <w:r>
        <w:t xml:space="preserve"> </w:t>
      </w:r>
      <w:r>
        <w:t xml:space="preserve">[30]</w:t>
      </w:r>
      <w:r>
        <w:t xml:space="preserve">. The package lme4 was used for performing mixed effect linear regression models</w:t>
      </w:r>
      <w:r>
        <w:t xml:space="preserve"> </w:t>
      </w:r>
      <w:r>
        <w:t xml:space="preserve">[31]</w:t>
      </w:r>
      <w:r>
        <w:t xml:space="preserve">.</w:t>
      </w:r>
    </w:p>
    <w:p>
      <w:pPr>
        <w:pStyle w:val="BodyText"/>
      </w:pPr>
      <w:r>
        <w:t xml:space="preserve">Rates of missing data in exposures (parity, Aβ) or outcome variables (mPACC, HV) at each time point are reported (Table 1).</w:t>
      </w:r>
    </w:p>
    <w:p>
      <w:pPr>
        <w:pStyle w:val="BodyText"/>
      </w:pPr>
      <w:r>
        <w:t xml:space="preserve">To elucidate the mechanisms underlying the parity-cognition relationship, we performed mediation analyses testing whether HV mediates the association between Aβ status and mPACC based on parity, given the well-established link between hippocampal integrity and cognitive function in preclinical and prodromal AD. We proceeded with the mediation model in whole group, then multiparous women only, which consisted of three pathways: (1) the effect of Aβ status on baseline HV (path a), (2) the effect of baseline HV on mPACC difference while controlling for Aβ status (path b), and (3) the direct effect of Aβ status on mPACC difference after accounting for the mediator (path c’). The indirect effect was calculated as the product of paths a and b. The package</w:t>
      </w:r>
      <w:r>
        <w:t xml:space="preserve"> </w:t>
      </w:r>
      <w:r>
        <w:t xml:space="preserve">‘mediation’</w:t>
      </w:r>
      <w:r>
        <w:t xml:space="preserve"> </w:t>
      </w:r>
      <w:r>
        <w:t xml:space="preserve">[32]</w:t>
      </w:r>
      <w:r>
        <w:t xml:space="preserve"> </w:t>
      </w:r>
      <w:r>
        <w:t xml:space="preserve">was used for mediation analysis.</w:t>
      </w:r>
    </w:p>
    <w:p>
      <w:pPr>
        <w:pStyle w:val="BodyText"/>
      </w:pPr>
      <w:r>
        <w:t xml:space="preserve">Statistical significance of the indirect effect was assessed using bootstrap confidence intervals with 5000 iterations, and the seed was set to 123. Covariates included age at baseline, APOE-ε4 carrier status, education, time between cognitive tests, and scaled TIV. HV was also scaled in this case due to being on a vastly different scale than the rest of the covariates.</w:t>
      </w:r>
    </w:p>
    <w:bookmarkEnd w:id="27"/>
    <w:bookmarkEnd w:id="28"/>
    <w:bookmarkStart w:id="39" w:name="results"/>
    <w:p>
      <w:pPr>
        <w:pStyle w:val="Heading1"/>
      </w:pPr>
      <w:r>
        <w:t xml:space="preserve">4. Results</w:t>
      </w:r>
    </w:p>
    <w:bookmarkStart w:id="29" w:name="descriptive-results"/>
    <w:p>
      <w:pPr>
        <w:pStyle w:val="Heading2"/>
      </w:pPr>
      <w:r>
        <w:t xml:space="preserve">4.1 Descriptive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126</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8</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 at first visit,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58.8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59.7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61.5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61.7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Education (years),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Aβ positive, Count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APOE-E4 carriers, Count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PACC z-score,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Follow-up PACC z-score,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 (0.80)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Hippocampal volume (cm3),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5.37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5.36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5.26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5.42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5.45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(0.79)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Follow-up Hippocampal volume (cm3),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5.21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5.14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5.27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5.24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5.08 (0.36)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Total Intracranial Volume (cm3),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1,255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1,259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1,257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1,251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Mean (SD); n (%)</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default">Kruskal-Wallis rank sum test; Fisher's exact test</w:t>
            </w:r>
          </w:p>
        </w:tc>
      </w:tr>
    </w:tbl>
    <w:p>
      <w:pPr>
        <w:pStyle w:val="FirstParagraph"/>
      </w:pPr>
      <w:r>
        <w:t xml:space="preserve">As shown in Table 1, 15.3% of our participants had no previous childbirths, most participants had 2 (49.6%) and only 3% had 4 or more. Participants with higher parity were significantly older . No differences were observed among groups for Aβ status, APOE-ε4 carrier status, HV, or mPACC performance.</w:t>
      </w:r>
    </w:p>
    <w:p>
      <w:pPr>
        <w:pStyle w:val="BodyText"/>
      </w:pPr>
      <w:r>
        <w:t xml:space="preserve">As shown in Table 1, 15.3% of our participants had no previous childbirths, most participants had 2 (49.6%) and only 3% had 4 or more. Participants with higher parity were significantly older. No differences were observed among groups for Aβ status, APOE-ε4 carrier status, HV, or mPACC performance.</w:t>
      </w:r>
    </w:p>
    <w:bookmarkEnd w:id="29"/>
    <w:bookmarkStart w:id="33" w:name="X341c7b87e000620cd7c969d7381b3036d72988d"/>
    <w:p>
      <w:pPr>
        <w:pStyle w:val="Heading2"/>
      </w:pPr>
      <w:r>
        <w:t xml:space="preserve">4.2 Interplay between parity, Aβ status and cognition</w:t>
      </w:r>
    </w:p>
    <w:p>
      <w:pPr>
        <w:pStyle w:val="FirstParagraph"/>
      </w:pPr>
      <w:r>
        <w:t xml:space="preserve">Using baseline data, parity was not associated with Aβ status (p=0.849) (eTable 1).</w:t>
      </w:r>
    </w:p>
    <w:p>
      <w:pPr>
        <w:pStyle w:val="BodyText"/>
      </w:pPr>
      <w:r>
        <w:t xml:space="preserve">Using data across both visits (eTable 2), parity did not significantly relate to mPACC changes (p=0.597).The interaction between parity and Aβ status on mPACC was not statistically significant (p= 0.528) The 3-way interaction between parity, time, and Aβ positivity revealed a significant effect on mPACC z-score change (β = -0.035, SE = 0.016, p=0.033). Results suggest that Aβ- women showed less cognitive decline with more childbirths, whereas Aβ+ women showed steeper decline with more childbirths (Figure 1).</w:t>
      </w:r>
    </w:p>
    <w:p>
      <w:pPr>
        <w:pStyle w:val="BodyText"/>
      </w:pPr>
      <w:r>
        <w:drawing>
          <wp:inline>
            <wp:extent cx="5334000" cy="5334000"/>
            <wp:effectExtent b="0" l="0" r="0" t="0"/>
            <wp:docPr descr="" title="" id="31" name="Picture"/>
            <a:graphic>
              <a:graphicData uri="http://schemas.openxmlformats.org/drawingml/2006/picture">
                <pic:pic>
                  <pic:nvPicPr>
                    <pic:cNvPr descr="ad_signatures_files/figure-docx/cog_plot_all-1.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Reproducing the analysis across categorical parity groups (nulliparous, primiparous, multiparous) did not yield a significant 3-way estimate (eTable 3). However, group contrast indicated that the difference between Aβ- and Aβ+ participants’ predicted slope was significant only in multiparous women (p=0.009) (Figure 1).</w:t>
      </w:r>
    </w:p>
    <w:bookmarkEnd w:id="33"/>
    <w:bookmarkStart w:id="37" w:name="X725072d0b43e8e53f180996cb41eda20a24140e"/>
    <w:p>
      <w:pPr>
        <w:pStyle w:val="Heading2"/>
      </w:pPr>
      <w:r>
        <w:t xml:space="preserve">4.3 Interplay between parity, Aβ status and hippocampal volume</w:t>
      </w:r>
    </w:p>
    <w:p>
      <w:pPr>
        <w:pStyle w:val="FirstParagraph"/>
      </w:pPr>
      <w:r>
        <w:t xml:space="preserve">No significant association between parity and HV was found (p= 0.206) (eTable 4). However, the interaction between parity and Aβ status was significant (β = -0.134, SE = 0.065, p = 0.041), showing that higher parity in Aβ- women was associated with a lower volume (Figure 2). Further exploration of this interaction in the hippocampal subfields can be found in the supplementary materials (eFigure 1).</w:t>
      </w:r>
    </w:p>
    <w:p>
      <w:pPr>
        <w:pStyle w:val="BodyText"/>
      </w:pPr>
      <w:r>
        <w:t xml:space="preserve">The 3-way interaction between time, parity, and Aβ status was not significant (p = 0.166).</w:t>
      </w:r>
    </w:p>
    <w:p>
      <w:pPr>
        <w:pStyle w:val="BodyText"/>
      </w:pPr>
      <w:r>
        <w:t xml:space="preserve">When using categorical parous groups as predictors instead of continuous parity, the resulting model did not yield significant group estimates (eTable 5). However, group-contrast of estimated means indicated that the difference in predicted HV between Aβ- and Aβ+ participants was significant only in multiparous women (β=236, SE=81.8, 0.004) (Figure 2).</w:t>
      </w:r>
    </w:p>
    <w:p>
      <w:pPr>
        <w:pStyle w:val="BodyText"/>
      </w:pPr>
      <w:r>
        <w:drawing>
          <wp:inline>
            <wp:extent cx="5334000" cy="5334000"/>
            <wp:effectExtent b="0" l="0" r="0" t="0"/>
            <wp:docPr descr="" title="" id="35" name="Picture"/>
            <a:graphic>
              <a:graphicData uri="http://schemas.openxmlformats.org/drawingml/2006/picture">
                <pic:pic>
                  <pic:nvPicPr>
                    <pic:cNvPr descr="ad_signatures_files/figure-docx/hippo_plot_all-1.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bookmarkEnd w:id="37"/>
    <w:bookmarkStart w:id="38" w:name="post-hoc-analysis"/>
    <w:p>
      <w:pPr>
        <w:pStyle w:val="Heading2"/>
      </w:pPr>
      <w:r>
        <w:t xml:space="preserve">4.4 Post Hoc analysis</w:t>
      </w:r>
    </w:p>
    <w:p>
      <w:pPr>
        <w:pStyle w:val="FirstParagraph"/>
      </w:pPr>
      <w:r>
        <w:t xml:space="preserve">Mediation analyses testing whether HV mediates the association between Aβ status and mPACC based on parity, in the whole sample, showed no significant mediation effect of HV on the relationship between Aβ status and mPACC difference (p=0.226). The total effect was nearing significance (β=-0.111, CI[-0.247,0.020] , p=0.063), and the direct effect was not significant (p=0.09).</w:t>
      </w:r>
    </w:p>
    <w:p>
      <w:pPr>
        <w:pStyle w:val="BodyText"/>
      </w:pPr>
      <w:r>
        <w:t xml:space="preserve">Looking at multiparous women only (n= 113), mediation analyses showed that HV significantly mediated about 27% of the effect of Aβ on cognitive difference (Average Causal Mediation Effect (ACME) = -0.045, 95% CI [-0.112, -0.001], p=0.036) (Figure 3). The total effect was significant (β = -0.170, 95% CI [-0.335, -0.003], p=0.043), with approximately 27% of the effect mediated through HV. The direct effect was not significant (Average Direct Effect (ADE) = -0.125, 95% CI [-0.290, 0.040], p = 0.147).</w:t>
      </w:r>
    </w:p>
    <w:bookmarkEnd w:id="38"/>
    <w:bookmarkEnd w:id="39"/>
    <w:bookmarkStart w:id="40" w:name="discussion"/>
    <w:p>
      <w:pPr>
        <w:pStyle w:val="Heading1"/>
      </w:pPr>
      <w:r>
        <w:t xml:space="preserve">5. Discussion</w:t>
      </w:r>
    </w:p>
    <w:p>
      <w:pPr>
        <w:pStyle w:val="FirstParagraph"/>
      </w:pPr>
      <w:r>
        <w:t xml:space="preserve">In this study, we examined the associations between parity and cognitive performance and HV, and whether Aβ status modified these associations. Parity did not significantly predict Aβ status in our sample, but instead interacted with it to affect both cognitive changes and HV across timepoints. In Aβ-positive women, higher parity was linked with steeper cognitive decline but not in Aβ-negative women. Regarding HV, higher parity was associated with smaller volumes in Aβ-positive, but not in Aβ-negative, women. Sub-group analyses showed that main effects of the parity and Aβ status interaction were observed in multiparous women. Mediation analyses in the subgroup of multiparous women indicated that HV partially mediated the effect of Aβ status on cognitive change. Together, these findings highlight a potential long-term influence of previous pregnancies on AD-related processes in postmenopausal women, suggesting that parity could interact with Aβ pathology to shape cognitive outcomes, partly through brain structure.</w:t>
      </w:r>
    </w:p>
    <w:p>
      <w:pPr>
        <w:pStyle w:val="BodyText"/>
      </w:pPr>
      <w:r>
        <w:t xml:space="preserve">An interesting result of our study was that parity did not independently affect cognitive changes, but instead, its effect was moderated by Aβ status. Our results suggest that the direction of parity’s effect on cognition may depend on the presence of AD pathological burden, and evoke a deleterious effect of higher parity on cognitive change only in the context of Aβ positivity. The effect size observed was small, but this is not surprising given the short average time period between visits and their clinical status at baseline. The direction of this interaction was present in both primiparous and multiparous women. Still, the comparison of predicted values between Aβ-negative and Aβ-positive groups was only significantly different in multiparous women, suggesting that pregnancy influences cognitive outcome in a cumulative way. This result offers an explanation for the mixed findings from previous studies examining the relationship between parity and cognitive decline , where sample composition and the lack of biomarker data might have obscured this interaction</w:t>
      </w:r>
      <w:r>
        <w:t xml:space="preserve"> </w:t>
      </w:r>
      <w:r>
        <w:t xml:space="preserve">[18]</w:t>
      </w:r>
      <w:r>
        <w:t xml:space="preserve">;</w:t>
      </w:r>
      <w:r>
        <w:t xml:space="preserve"> </w:t>
      </w:r>
      <w:r>
        <w:t xml:space="preserve">[19]</w:t>
      </w:r>
      <w:r>
        <w:t xml:space="preserve">.</w:t>
      </w:r>
    </w:p>
    <w:p>
      <w:pPr>
        <w:pStyle w:val="BodyText"/>
      </w:pPr>
      <w:r>
        <w:t xml:space="preserve">Similarly, parity did not predict HV independently, but it moderated the effect of amyloid load on HV. This indicates that the pathological burden conferred by amyloid accumulation on HV might be affected by previous reproductive history. Whilst HV is affected during pregnancy in first time mothers</w:t>
      </w:r>
      <w:r>
        <w:t xml:space="preserve"> </w:t>
      </w:r>
      <w:r>
        <w:t xml:space="preserve">[10]</w:t>
      </w:r>
      <w:r>
        <w:t xml:space="preserve">, the long-term consequences of this neuronal plasticity is unknown. Grand multiparity was found to be associated with lower HV in postmenopausal women but in a sample that included MCI women, who therefore might already have accumulated amyloid pathology</w:t>
      </w:r>
      <w:r>
        <w:t xml:space="preserve"> </w:t>
      </w:r>
      <w:r>
        <w:t xml:space="preserve">[19]</w:t>
      </w:r>
      <w:r>
        <w:t xml:space="preserve">. In rats, parity prevented the age-related decline in hippocampal neural stem cells</w:t>
      </w:r>
      <w:r>
        <w:t xml:space="preserve"> </w:t>
      </w:r>
      <w:r>
        <w:t xml:space="preserve">[33]</w:t>
      </w:r>
      <w:r>
        <w:t xml:space="preserve">, so it is possible similar mechanisms could explain the direction of effect observed in Aβ-negative women. Interestingly, the effects observed in our analyses were independent of time, suggesting that the factors underlying these differences may have occurred before our window of observation, which excludes the menopausal transition. It is possible for some of this effect to be driven by the menopausal transition given the hippocampus’ sensitivity to sex hormones and the importance of this transition for AD onset</w:t>
      </w:r>
      <w:r>
        <w:t xml:space="preserve"> </w:t>
      </w:r>
      <w:r>
        <w:t xml:space="preserve">[34]</w:t>
      </w:r>
      <w:r>
        <w:t xml:space="preserve">. Future research should further explore the menopausal transition and its relationship with HV.</w:t>
      </w:r>
    </w:p>
    <w:p>
      <w:pPr>
        <w:pStyle w:val="BodyText"/>
      </w:pPr>
      <w:r>
        <w:t xml:space="preserve">Mediation analysis shows that, in multiparous women, about 27% of the effect of Aβ status on cognitive slopes is mediated through HV. This result suggests that, in multiparous women, Aβ may have a more adverse effect on cognitive functioning, and this effect might partly be mediated by HV loss. Aβ accumulation contributes to neurodegeneration in the hippocampus</w:t>
      </w:r>
      <w:r>
        <w:t xml:space="preserve"> </w:t>
      </w:r>
      <w:r>
        <w:t xml:space="preserve">[35]</w:t>
      </w:r>
      <w:r>
        <w:t xml:space="preserve"> </w:t>
      </w:r>
      <w:r>
        <w:t xml:space="preserve">which is probably why we observe partial mediation through HV. But this mediation is only seen in multiparous women, suggesting a cumulative effect of AD pathophysiological features. Repeated periods of high plasticity during the gestational period or high cognitive demand during the child-rearing years could influence the terrain for neuropathology accumulation in later life. The mediation is only partial, meaning that other mechanisms are at play. Pregnancy has a broad impact that not only affects hippocampal structures but also grey matter volume and cortical thickness, which might also contribute to the results at hand</w:t>
      </w:r>
      <w:r>
        <w:t xml:space="preserve"> </w:t>
      </w:r>
      <w:r>
        <w:t xml:space="preserve">[10]</w:t>
      </w:r>
      <w:r>
        <w:t xml:space="preserve">. Therefore, future avenues of investigation should also examine whether the same interaction with Aβ load occurs in other major brain structures or is specific to the hippocampus.</w:t>
      </w:r>
    </w:p>
    <w:p>
      <w:pPr>
        <w:pStyle w:val="BodyText"/>
      </w:pPr>
      <w:r>
        <w:t xml:space="preserve">Second, parity could interact with Aβ status through immune changes induced by pregnancy. Parity has long-lasting effects on the immune system, as evidenced by the presence of fetal cells in the mother’s tissue postpartum</w:t>
      </w:r>
      <w:r>
        <w:t xml:space="preserve"> </w:t>
      </w:r>
      <w:r>
        <w:t xml:space="preserve">[36]</w:t>
      </w:r>
      <w:r>
        <w:t xml:space="preserve">. A key theory behind sex differences in AD trajectory concerns immune differences and their effects on the inflammatory cascade that characterizes Aβ accumulation</w:t>
      </w:r>
      <w:r>
        <w:t xml:space="preserve"> </w:t>
      </w:r>
      <w:r>
        <w:t xml:space="preserve">[37]</w:t>
      </w:r>
      <w:r>
        <w:t xml:space="preserve">. Gestational-related immune changes could contribute to the observed sex differences in immunological pathways in AD, perhaps through microglial effects on Aβ accumulation. Third, pregnancy’s impact on the cardiovascular system could modify later-life cardiovascular risk, which is highly linked with all-cause dementia and AD risk</w:t>
      </w:r>
      <w:r>
        <w:t xml:space="preserve"> </w:t>
      </w:r>
      <w:r>
        <w:t xml:space="preserve">[38]</w:t>
      </w:r>
      <w:r>
        <w:t xml:space="preserve">. Pregnancy requires substantial vasculature changes for the well-being of the new foetus, in turn leading to significant increases in plasma volume and cardiac output</w:t>
      </w:r>
      <w:r>
        <w:t xml:space="preserve"> </w:t>
      </w:r>
      <w:r>
        <w:t xml:space="preserve">[39]</w:t>
      </w:r>
      <w:r>
        <w:t xml:space="preserve">. Previous parity could alter participants’ vascular system, which in turn could modulate the effect of Aβ on vasculature, resilience to Aβ accumulation, and AD risk and trajectory. Given that microglial activation is strongly associated with cerebrovascular injury and Aβ accumulation, it is possible that vascular and immune pathways interact.</w:t>
      </w:r>
    </w:p>
    <w:p>
      <w:pPr>
        <w:pStyle w:val="BodyText"/>
      </w:pPr>
      <w:r>
        <w:t xml:space="preserve">Interestingly, our results highlight a group difference between primiparous and multiparous women, suggesting that biological and lifestyle factors operate differently across reproductive histories. Most human studies investigating the effects of pregnancy on brain and hippocampal structure have focused on first-time mothers</w:t>
      </w:r>
      <w:r>
        <w:t xml:space="preserve"> </w:t>
      </w:r>
      <w:r>
        <w:t xml:space="preserve">[40]</w:t>
      </w:r>
      <w:r>
        <w:t xml:space="preserve">;</w:t>
      </w:r>
      <w:r>
        <w:t xml:space="preserve"> </w:t>
      </w:r>
      <w:r>
        <w:t xml:space="preserve">[10]</w:t>
      </w:r>
      <w:r>
        <w:t xml:space="preserve">;</w:t>
      </w:r>
      <w:r>
        <w:t xml:space="preserve"> </w:t>
      </w:r>
      <w:r>
        <w:t xml:space="preserve">[41]</w:t>
      </w:r>
      <w:r>
        <w:t xml:space="preserve">, leaving open the question of whether pregnancy-related changes accumulate with each childbirth or occur primarily during the first pregnancy. But beyond the biological processes associated with pregnancy, it is also essential to consider the transition to motherhood itself, often referred to as matrescence, which involves substantial psychological, social, and lifestyle adjustments</w:t>
      </w:r>
      <w:r>
        <w:t xml:space="preserve"> </w:t>
      </w:r>
      <w:r>
        <w:t xml:space="preserve">[42]</w:t>
      </w:r>
      <w:r>
        <w:t xml:space="preserve">. These experiences, encompassing caregiving demands, stress exposure, and shifts in social roles and routines, may influence brain health through mechanisms distinct from those of pregnancy-related biology. Participants in the ALFA+ cohort mainly come from a homogeneous social background, and we found no significant differences in household income or occupation depending on the number of childbirths (eTable 5). Therefore, future research on the effect of pregnancy on women’s brain health should disentangle the biological versus social aspects of this phenomenon by using a more diverse population with higher variability of social backgrounds.</w:t>
      </w:r>
    </w:p>
    <w:p>
      <w:pPr>
        <w:pStyle w:val="BodyText"/>
      </w:pPr>
      <w:r>
        <w:t xml:space="preserve">Some limitations should be considered. Firstly, the number of follow-up visits is insufficient to observe nonlinear evolution, thereby limiting our understanding of plausible mechanisms underlying AD pathogenesis. Future work should include additional timepoints to better understand the trajectory of these results. Secondly, although our sample’s excellent health record makes it ideal to identify subtle changes in the early AD continuum, the vast majority of ALFA+ study participants are white Caucasians, resulting in an ethnically homogeneous sample primarily from middle- to upper-middle-class backgrounds. Future work should reproduce these analyses in a more diverse cohort to understand the impact of ethnicity and social background on the present results. Thirdly, our sample had significantly more multiparous participants, meaning our sensitivity analyses using parity as a categorical variable were relatively underpowered for the nulliparous and primiparous levels. Therefore, Type II errors were more likely for these groups. Replication in larger independent cohorts is needed to address the relatively few cases of nulliparous and primiparous individuals. Additionally, the ALFA+ cohort is highly enriched in AD genetic phenotype</w:t>
      </w:r>
      <w:r>
        <w:t xml:space="preserve"> </w:t>
      </w:r>
      <w:r>
        <w:t xml:space="preserve">[43]</w:t>
      </w:r>
      <w:r>
        <w:t xml:space="preserve">, with for example, nearly 40% of the participants being carriers of APOE-e4. This is not representative of the general population’s genetic profile, and could have influenced our results due to carriers’ elevated vulnerability to AD pathology accumulation. Lastly, the absence of direct hormonal measurements limits our ability to draw definitive conclusions about the role of sex steroid hormones in the observed associations. By relying on proxy measures, we can only estimate hormone-related effects, potentially leading to an underestimation of their actual influence.</w:t>
      </w:r>
    </w:p>
    <w:p>
      <w:pPr>
        <w:pStyle w:val="BodyText"/>
      </w:pPr>
      <w:r>
        <w:t xml:space="preserve">To conclude, this research demonstrated that parity is related to postmenopausal women’s cognitive trajectory and hippocampal volume as a function of their Aβ status. While parity did not directly influence cognitive performance, it interacted with Aβ status to shape both cognitive changes and HV. By highlighting how reproductive history interacts with Aβ pathology, our results may help reconcile previously inconsistent findings on the association between parity and AD risk and underscore the importance of considering female-specific biological factors in AD research. In summary, this work contributes to a more nuanced understanding of why women exhibit more deleterious downstream effects of AD pathology and highlights the importance of incorporating sex and gender specific risk factors in prevention and early AD detection strategies.</w:t>
      </w:r>
    </w:p>
    <w:bookmarkEnd w:id="40"/>
    <w:bookmarkStart w:id="48" w:name="appendix"/>
    <w:p>
      <w:pPr>
        <w:pStyle w:val="Heading1"/>
      </w:pPr>
      <w:r>
        <w:t xml:space="preserve">6. Appendix</w:t>
      </w:r>
    </w:p>
    <w:bookmarkStart w:id="41" w:name="regression-tables"/>
    <w:p>
      <w:pPr>
        <w:pStyle w:val="Heading2"/>
      </w:pPr>
      <w:r>
        <w:t xml:space="preserve">6.1 Regression tables</w:t>
      </w:r>
    </w:p>
    <w:p>
      <w:pPr>
        <w:pStyle w:val="SourceCode"/>
      </w:pPr>
      <w:r>
        <w:rPr>
          <w:rStyle w:val="FunctionTok"/>
        </w:rPr>
        <w:t xml:space="preserve">tbl_regression</w:t>
      </w:r>
      <w:r>
        <w:rPr>
          <w:rStyle w:val="NormalTok"/>
        </w:rPr>
        <w:t xml:space="preserve">(fit_cog_ashs, </w:t>
      </w:r>
      <w:r>
        <w:rPr>
          <w:rStyle w:val="AttributeTok"/>
        </w:rPr>
        <w:t xml:space="preserve">label=</w:t>
      </w:r>
      <w:r>
        <w:rPr>
          <w:rStyle w:val="NormalTok"/>
        </w:rPr>
        <w:t xml:space="preserve"> </w:t>
      </w:r>
      <w:r>
        <w:rPr>
          <w:rStyle w:val="FunctionTok"/>
        </w:rPr>
        <w:t xml:space="preserve">list</w:t>
      </w:r>
      <w:r>
        <w:rPr>
          <w:rStyle w:val="NormalTok"/>
        </w:rPr>
        <w:t xml:space="preserve">(</w:t>
      </w:r>
      <w:r>
        <w:rPr>
          <w:rStyle w:val="AttributeTok"/>
        </w:rPr>
        <w:t xml:space="preserve">kids_total =</w:t>
      </w:r>
      <w:r>
        <w:rPr>
          <w:rStyle w:val="NormalTok"/>
        </w:rPr>
        <w:t xml:space="preserve"> </w:t>
      </w:r>
      <w:r>
        <w:rPr>
          <w:rStyle w:val="StringTok"/>
        </w:rPr>
        <w:t xml:space="preserve">"Parity (continous)"</w:t>
      </w:r>
      <w:r>
        <w:rPr>
          <w:rStyle w:val="NormalTok"/>
        </w:rPr>
        <w:t xml:space="preserve">, </w:t>
      </w:r>
      <w:r>
        <w:rPr>
          <w:rStyle w:val="AttributeTok"/>
        </w:rPr>
        <w:t xml:space="preserve">age_v1=</w:t>
      </w:r>
      <w:r>
        <w:rPr>
          <w:rStyle w:val="NormalTok"/>
        </w:rPr>
        <w:t xml:space="preserve"> </w:t>
      </w:r>
      <w:r>
        <w:rPr>
          <w:rStyle w:val="StringTok"/>
        </w:rPr>
        <w:t xml:space="preserve">"Age"</w:t>
      </w:r>
      <w:r>
        <w:rPr>
          <w:rStyle w:val="NormalTok"/>
        </w:rPr>
        <w:t xml:space="preserve">, </w:t>
      </w:r>
      <w:r>
        <w:rPr>
          <w:rStyle w:val="AttributeTok"/>
        </w:rPr>
        <w:t xml:space="preserve">APOE_binary =</w:t>
      </w:r>
      <w:r>
        <w:rPr>
          <w:rStyle w:val="NormalTok"/>
        </w:rPr>
        <w:t xml:space="preserve"> </w:t>
      </w:r>
      <w:r>
        <w:rPr>
          <w:rStyle w:val="StringTok"/>
        </w:rPr>
        <w:t xml:space="preserve">"APOE-E4"</w:t>
      </w:r>
      <w:r>
        <w:rPr>
          <w:rStyle w:val="NormalTok"/>
        </w:rPr>
        <w:t xml:space="preserve">, </w:t>
      </w:r>
      <w:r>
        <w:rPr>
          <w:rStyle w:val="AttributeTok"/>
        </w:rPr>
        <w:t xml:space="preserve">education =</w:t>
      </w:r>
      <w:r>
        <w:rPr>
          <w:rStyle w:val="NormalTok"/>
        </w:rPr>
        <w:t xml:space="preserve"> </w:t>
      </w:r>
      <w:r>
        <w:rPr>
          <w:rStyle w:val="StringTok"/>
        </w:rPr>
        <w:t xml:space="preserve">"Education (years of)"</w:t>
      </w:r>
      <w:r>
        <w:rPr>
          <w:rStyle w:val="NormalTok"/>
        </w:rPr>
        <w:t xml:space="preserve">, </w:t>
      </w:r>
      <w:r>
        <w:rPr>
          <w:rStyle w:val="AttributeTok"/>
        </w:rPr>
        <w:t xml:space="preserve">diff_mri =</w:t>
      </w:r>
      <w:r>
        <w:rPr>
          <w:rStyle w:val="NormalTok"/>
        </w:rPr>
        <w:t xml:space="preserve"> </w:t>
      </w:r>
      <w:r>
        <w:rPr>
          <w:rStyle w:val="StringTok"/>
        </w:rPr>
        <w:t xml:space="preserve">"Time"</w:t>
      </w:r>
      <w:r>
        <w:rPr>
          <w:rStyle w:val="NormalTok"/>
        </w:rPr>
        <w:t xml:space="preserve">, </w:t>
      </w:r>
      <w:r>
        <w:rPr>
          <w:rStyle w:val="AttributeTok"/>
        </w:rPr>
        <w:t xml:space="preserve">vol_HIPP_cm =</w:t>
      </w:r>
      <w:r>
        <w:rPr>
          <w:rStyle w:val="NormalTok"/>
        </w:rPr>
        <w:t xml:space="preserve"> </w:t>
      </w:r>
      <w:r>
        <w:rPr>
          <w:rStyle w:val="StringTok"/>
        </w:rPr>
        <w:t xml:space="preserve">"HV"</w:t>
      </w:r>
      <w:r>
        <w:rPr>
          <w:rStyle w:val="NormalTok"/>
        </w:rPr>
        <w:t xml:space="preserve">), </w:t>
      </w:r>
      <w:r>
        <w:rPr>
          <w:rStyle w:val="AttributeTok"/>
        </w:rPr>
        <w:t xml:space="preserve">exponentiate =</w:t>
      </w:r>
      <w:r>
        <w:rPr>
          <w:rStyle w:val="NormalTok"/>
        </w:rPr>
        <w:t xml:space="preserve"> F,</w:t>
      </w:r>
      <w:r>
        <w:br/>
      </w:r>
      <w:r>
        <w:rPr>
          <w:rStyle w:val="NormalTok"/>
        </w:rPr>
        <w:t xml:space="preserve">               </w:t>
      </w:r>
      <w:r>
        <w:rPr>
          <w:rStyle w:val="AttributeTok"/>
        </w:rPr>
        <w:t xml:space="preserve">include=</w:t>
      </w:r>
      <w:r>
        <w:rPr>
          <w:rStyle w:val="FunctionTok"/>
        </w:rPr>
        <w:t xml:space="preserve">c</w:t>
      </w:r>
      <w:r>
        <w:rPr>
          <w:rStyle w:val="NormalTok"/>
        </w:rPr>
        <w:t xml:space="preserve">(vol_HIPP_cm, diff_mri, kids_total, </w:t>
      </w:r>
      <w:r>
        <w:rPr>
          <w:rStyle w:val="StringTok"/>
        </w:rPr>
        <w:t xml:space="preserve">`</w:t>
      </w:r>
      <w:r>
        <w:rPr>
          <w:rStyle w:val="AttributeTok"/>
        </w:rPr>
        <w:t xml:space="preserve">vol_HIPP_cm:diff_mri</w:t>
      </w:r>
      <w:r>
        <w:rPr>
          <w:rStyle w:val="StringTok"/>
        </w:rPr>
        <w:t xml:space="preserve">`</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4</w:t>
      </w:r>
      <w:r>
        <w:rPr>
          <w:rStyle w:val="NormalTok"/>
        </w:rPr>
        <w:t xml:space="preserve">))</w:t>
      </w:r>
      <w:r>
        <w:rPr>
          <w:rStyle w:val="SpecialCharTok"/>
        </w:rPr>
        <w:t xml:space="preserve">%&gt;%</w:t>
      </w:r>
      <w:r>
        <w:br/>
      </w:r>
      <w:r>
        <w:rPr>
          <w:rStyle w:val="NormalTok"/>
        </w:rPr>
        <w:t xml:space="preserve">  </w:t>
      </w:r>
      <w:r>
        <w:rPr>
          <w:rStyle w:val="FunctionTok"/>
        </w:rPr>
        <w:t xml:space="preserve">modify_header</w:t>
      </w:r>
      <w:r>
        <w:rPr>
          <w:rStyle w:val="NormalTok"/>
        </w:rPr>
        <w:t xml:space="preserve">(estimate </w:t>
      </w:r>
      <w:r>
        <w:rPr>
          <w:rStyle w:val="SpecialCharTok"/>
        </w:rPr>
        <w:t xml:space="preserve">~</w:t>
      </w:r>
      <w:r>
        <w:rPr>
          <w:rStyle w:val="NormalTok"/>
        </w:rPr>
        <w:t xml:space="preserve"> </w:t>
      </w:r>
      <w:r>
        <w:rPr>
          <w:rStyle w:val="StringTok"/>
        </w:rPr>
        <w:t xml:space="preserve">"**Estimate**"</w:t>
      </w:r>
      <w:r>
        <w:rPr>
          <w:rStyle w:val="NormalTok"/>
        </w:rPr>
        <w:t xml:space="preserve">, label </w:t>
      </w:r>
      <w:r>
        <w:rPr>
          <w:rStyle w:val="SpecialCharTok"/>
        </w:rPr>
        <w:t xml:space="preserve">~</w:t>
      </w:r>
      <w:r>
        <w:rPr>
          <w:rStyle w:val="NormalTok"/>
        </w:rPr>
        <w:t xml:space="preserve"> </w:t>
      </w:r>
      <w:r>
        <w:rPr>
          <w:rStyle w:val="StringTok"/>
        </w:rPr>
        <w:t xml:space="preserve">"**Variables, N = {N}**"</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 N = 422</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-0.2128, 0.1024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-0.2799, 0.0247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-0.0491, 0.1228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HV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-0.0027, 0.0546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0.076</w:t>
            </w:r>
          </w:p>
        </w:tc>
      </w:tr>
      <w:tr>
        <w:trPr>
          <w:cantSplit/>
        </w:trPr>
        <w:tc>
          <w:tcPr>
            <w:gridSpan w:val="4"/>
          </w:tcPr>
          <w:p>
            <w:pPr>
              <w:spacing w:before="0" w:after="60"/>
              <w:keepNext/>
            </w:pPr>
            <w:r>
              <w:rPr>
                <w:rFonts w:ascii="Calibri" w:hAnsi="Calibri"/>
                <w:sz w:val="20"/>
              </w:rPr>
              <w:t xml:space="preserve">Abbreviation: CI = Confidence Interval</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 N = 229</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-0.36, 0.29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 N = 393</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-0.0853, 0.1480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-0.4077, 0.3548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-0.0529, 0.0232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-0.2033, 0.1776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Aβ+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-0.0432, 0.0839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-0.0002, 0.0397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 * Aβ+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-0.0676, -0.0028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0.033</w:t>
            </w:r>
          </w:p>
        </w:tc>
      </w:tr>
      <w:tr>
        <w:trPr>
          <w:cantSplit/>
        </w:trPr>
        <w:tc>
          <w:tcPr>
            <w:gridSpan w:val="4"/>
          </w:tcPr>
          <w:p>
            <w:pPr>
              <w:spacing w:before="0" w:after="60"/>
              <w:keepNext/>
            </w:pPr>
            <w:r>
              <w:rPr>
                <w:rFonts w:ascii="Calibri" w:hAnsi="Calibri"/>
                <w:sz w:val="20"/>
              </w:rPr>
              <w:t xml:space="preserve">Abbreviation: CI = Confidence Interval</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 N = 393</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-0.4619, 0.2897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-0.3615, 0.2925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-0.5462, 0.4487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-0.0718, 0.0282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Aβ+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-0.0554, 0.1102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-0.7265, 0.5880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-0.5329, 0.5699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-0.0440, 0.0832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0.0015, 0.1134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 * Aβ+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1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-0.1723, 0.0478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 1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-0.1786, 0.0082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0.074</w:t>
            </w:r>
          </w:p>
        </w:tc>
      </w:tr>
      <w:tr>
        <w:trPr>
          <w:cantSplit/>
        </w:trPr>
        <w:tc>
          <w:tcPr>
            <w:gridSpan w:val="4"/>
          </w:tcPr>
          <w:p>
            <w:pPr>
              <w:spacing w:before="0" w:after="60"/>
              <w:keepNext/>
            </w:pPr>
            <w:r>
              <w:rPr>
                <w:rFonts w:ascii="Calibri" w:hAnsi="Calibri"/>
                <w:sz w:val="20"/>
              </w:rPr>
              <w:t xml:space="preserve">Abbreviation: CI = Confidence Interval</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 N = 416</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-0.13, 0.39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(continous) * Time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4"/>
          </w:tcPr>
          <w:p>
            <w:pPr>
              <w:spacing w:before="0" w:after="60"/>
              <w:keepNext/>
            </w:pPr>
            <w:r>
              <w:rPr>
                <w:rFonts w:ascii="Calibri" w:hAnsi="Calibri"/>
                <w:sz w:val="20"/>
              </w:rPr>
              <w:t xml:space="preserve">Abbreviation: CI = Confidence Interval</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 N = 416</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-0.26, 0.23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-0.26, 0.42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 Time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Parity (categorical) * Time * Aβ+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 Time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 Time *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gridSpan w:val="4"/>
          </w:tcPr>
          <w:p>
            <w:pPr>
              <w:spacing w:before="0" w:after="60"/>
              <w:keepNext/>
            </w:pPr>
            <w:r>
              <w:rPr>
                <w:rFonts w:ascii="Calibri" w:hAnsi="Calibri"/>
                <w:sz w:val="20"/>
              </w:rPr>
              <w:t xml:space="preserve">Abbreviation: CI = Confidence Interval</w:t>
            </w:r>
          </w:p>
        </w:tc>
      </w:tr>
    </w:tbl>
    <w:bookmarkEnd w:id="41"/>
    <w:bookmarkStart w:id="42" w:name="mri-data-acquisition"/>
    <w:p>
      <w:pPr>
        <w:pStyle w:val="Heading2"/>
      </w:pPr>
      <w:r>
        <w:t xml:space="preserve">6.2 MRI data acquisition</w:t>
      </w:r>
    </w:p>
    <w:p>
      <w:pPr>
        <w:pStyle w:val="FirstParagraph"/>
      </w:pPr>
      <w:r>
        <w:t xml:space="preserve">MRI scans were acquired on a 3.0 T scanner (GE Discovery MR750 W 3 T) using the same protocol for all participants, which included one T1- and three T2- weighted sequences. The 3D-T1w sequence was designed with an isotropic voxel size of1mm3 and a matrix size of256x256x160 (TR/TE/TI = 8.0/3.7/450 ms, NSA = 1, flip angle = 8°). Three 3D-T2w sequences, with a voxel size of1 mm× 1 mm× 3 mm, were also used: fluid attenuation inversion recovery (FLAIR: TR/TE/ TI = 11,000/90/2600 ms, flip angle = 160°), fast spin echo (FSE: TR/TE = 5000/85 ms, flip angle = 110°) and, gradient echo (GRE: TR/TE = 1300/23 ms, flip angle = 15°). All scans were visually assessed to verify their quality and to detect incidental findings by a trained neuroradiologist and have been reported elsewhere</w:t>
      </w:r>
      <w:r>
        <w:t xml:space="preserve"> </w:t>
      </w:r>
      <w:r>
        <w:t xml:space="preserve">[44]</w:t>
      </w:r>
      <w:r>
        <w:t xml:space="preserve">.</w:t>
      </w:r>
    </w:p>
    <w:bookmarkEnd w:id="42"/>
    <w:bookmarkStart w:id="46" w:name="hippocampal-subfields"/>
    <w:p>
      <w:pPr>
        <w:pStyle w:val="Heading2"/>
      </w:pPr>
      <w:r>
        <w:t xml:space="preserve">6.3 Hippocampal subfields</w:t>
      </w:r>
    </w:p>
    <w:p>
      <w:pPr>
        <w:pStyle w:val="FirstParagraph"/>
      </w:pPr>
      <w:r>
        <w:t xml:space="preserve">No significant main effect of parity was found in any of the hippocampal subfields. However, there was a significant effect of the interaction between parity and Aβ on the dentate gyrus (β = -54.345, SE = 26.342, p = 0.04), and a trending effect of this same interaction in the subiculum (β = -25.207, SE = 13.499, p = 0.063). The direction of the effect followed the same as for the whole hippocampus, where Aβ- women showed a positive relationship between parity and hippocampal volume, whilst Aβ- women showed the opposite (Figure X)</w:t>
      </w:r>
    </w:p>
    <w:p>
      <w:pPr>
        <w:pStyle w:val="BodyText"/>
      </w:pPr>
      <w:r>
        <w:drawing>
          <wp:inline>
            <wp:extent cx="5334000" cy="5334000"/>
            <wp:effectExtent b="0" l="0" r="0" t="0"/>
            <wp:docPr descr="" title="" id="44" name="Picture"/>
            <a:graphic>
              <a:graphicData uri="http://schemas.openxmlformats.org/drawingml/2006/picture">
                <pic:pic>
                  <pic:nvPicPr>
                    <pic:cNvPr descr="ad_signatures_files/figure-docx/unnamed-chunk-15-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bookmarkEnd w:id="46"/>
    <w:bookmarkStart w:id="47" w:name="chi-square"/>
    <w:p>
      <w:pPr>
        <w:pStyle w:val="Heading2"/>
      </w:pPr>
      <w:r>
        <w:t xml:space="preserve">6.4 Chi square</w:t>
      </w:r>
    </w:p>
    <w:p>
      <w:pPr>
        <w:pStyle w:val="SourceCode"/>
      </w:pPr>
      <w:r>
        <w:rPr>
          <w:rStyle w:val="VerbatimChar"/>
        </w:rPr>
        <w:t xml:space="preserve">   </w:t>
      </w:r>
      <w:r>
        <w:br/>
      </w:r>
      <w:r>
        <w:rPr>
          <w:rStyle w:val="VerbatimChar"/>
        </w:rPr>
        <w:t xml:space="preserve">     1  2  3  4  5  6  7  8</w:t>
      </w:r>
      <w:r>
        <w:br/>
      </w:r>
      <w:r>
        <w:rPr>
          <w:rStyle w:val="VerbatimChar"/>
        </w:rPr>
        <w:t xml:space="preserve">  0  2  0  1  5 14 19 13  2</w:t>
      </w:r>
      <w:r>
        <w:br/>
      </w:r>
      <w:r>
        <w:rPr>
          <w:rStyle w:val="VerbatimChar"/>
        </w:rPr>
        <w:t xml:space="preserve">  1  0  0  1  2 15 38 16  4</w:t>
      </w:r>
      <w:r>
        <w:br/>
      </w:r>
      <w:r>
        <w:rPr>
          <w:rStyle w:val="VerbatimChar"/>
        </w:rPr>
        <w:t xml:space="preserve">  2  1  2  2 11 35 64 41  7</w:t>
      </w:r>
      <w:r>
        <w:br/>
      </w:r>
      <w:r>
        <w:rPr>
          <w:rStyle w:val="VerbatimChar"/>
        </w:rPr>
        <w:t xml:space="preserve">  3  0  1  0  2  8 13 10  7</w:t>
      </w:r>
      <w:r>
        <w:br/>
      </w:r>
      <w:r>
        <w:rPr>
          <w:rStyle w:val="VerbatimChar"/>
        </w:rPr>
        <w:t xml:space="preserve">  4  0  0  0  0  2  4  1  1</w:t>
      </w:r>
      <w:r>
        <w:br/>
      </w:r>
      <w:r>
        <w:rPr>
          <w:rStyle w:val="VerbatimChar"/>
        </w:rPr>
        <w:t xml:space="preserve">  5  0  0  0  0  0  0  1  0</w:t>
      </w:r>
    </w:p>
    <w:p>
      <w:pPr>
        <w:pStyle w:val="SourceCode"/>
      </w:pPr>
      <w:r>
        <w:rPr>
          <w:rStyle w:val="VerbatimChar"/>
        </w:rPr>
        <w:t xml:space="preserve">   </w:t>
      </w:r>
      <w:r>
        <w:br/>
      </w:r>
      <w:r>
        <w:rPr>
          <w:rStyle w:val="VerbatimChar"/>
        </w:rPr>
        <w:t xml:space="preserve">     0  1  2  3  4</w:t>
      </w:r>
      <w:r>
        <w:br/>
      </w:r>
      <w:r>
        <w:rPr>
          <w:rStyle w:val="VerbatimChar"/>
        </w:rPr>
        <w:t xml:space="preserve">  0  2  6 18 27 13</w:t>
      </w:r>
      <w:r>
        <w:br/>
      </w:r>
      <w:r>
        <w:rPr>
          <w:rStyle w:val="VerbatimChar"/>
        </w:rPr>
        <w:t xml:space="preserve">  1  3 12 38 28 12</w:t>
      </w:r>
      <w:r>
        <w:br/>
      </w:r>
      <w:r>
        <w:rPr>
          <w:rStyle w:val="VerbatimChar"/>
        </w:rPr>
        <w:t xml:space="preserve">  2 14 24 70 78 27</w:t>
      </w:r>
      <w:r>
        <w:br/>
      </w:r>
      <w:r>
        <w:rPr>
          <w:rStyle w:val="VerbatimChar"/>
        </w:rPr>
        <w:t xml:space="preserve">  3  1  3 15 20  8</w:t>
      </w:r>
      <w:r>
        <w:br/>
      </w:r>
      <w:r>
        <w:rPr>
          <w:rStyle w:val="VerbatimChar"/>
        </w:rPr>
        <w:t xml:space="preserve">  4  1  3  2  4  1</w:t>
      </w:r>
      <w:r>
        <w:br/>
      </w:r>
      <w:r>
        <w:rPr>
          <w:rStyle w:val="VerbatimChar"/>
        </w:rPr>
        <w:t xml:space="preserve">  5  0  0  0  1  0</w:t>
      </w:r>
    </w:p>
    <w:p>
      <w:pPr>
        <w:pStyle w:val="SourceCode"/>
      </w:pPr>
      <w:r>
        <w:rPr>
          <w:rStyle w:val="VerbatimChar"/>
        </w:rPr>
        <w:t xml:space="preserve">Warning in chisq.test(cont_tbl_ingreso): Chi-squared approximation may be</w:t>
      </w:r>
      <w:r>
        <w:br/>
      </w:r>
      <w:r>
        <w:rPr>
          <w:rStyle w:val="VerbatimChar"/>
        </w:rPr>
        <w:t xml:space="preserve">incorrect</w:t>
      </w:r>
    </w:p>
    <w:p>
      <w:pPr>
        <w:pStyle w:val="SourceCode"/>
      </w:pPr>
      <w:r>
        <w:rPr>
          <w:rStyle w:val="VerbatimChar"/>
        </w:rPr>
        <w:t xml:space="preserve">          Length Class  Mode     </w:t>
      </w:r>
      <w:r>
        <w:br/>
      </w:r>
      <w:r>
        <w:rPr>
          <w:rStyle w:val="VerbatimChar"/>
        </w:rPr>
        <w:t xml:space="preserve">statistic  1     -none- numeric  </w:t>
      </w:r>
      <w:r>
        <w:br/>
      </w:r>
      <w:r>
        <w:rPr>
          <w:rStyle w:val="VerbatimChar"/>
        </w:rPr>
        <w:t xml:space="preserve">parameter  1     -none- numeric  </w:t>
      </w:r>
      <w:r>
        <w:br/>
      </w:r>
      <w:r>
        <w:rPr>
          <w:rStyle w:val="VerbatimChar"/>
        </w:rPr>
        <w:t xml:space="preserve">p.value    1     -none- numeric  </w:t>
      </w:r>
      <w:r>
        <w:br/>
      </w:r>
      <w:r>
        <w:rPr>
          <w:rStyle w:val="VerbatimChar"/>
        </w:rPr>
        <w:t xml:space="preserve">method     1     -none- character</w:t>
      </w:r>
      <w:r>
        <w:br/>
      </w:r>
      <w:r>
        <w:rPr>
          <w:rStyle w:val="VerbatimChar"/>
        </w:rPr>
        <w:t xml:space="preserve">data.name  1     -none- character</w:t>
      </w:r>
      <w:r>
        <w:br/>
      </w:r>
      <w:r>
        <w:rPr>
          <w:rStyle w:val="VerbatimChar"/>
        </w:rPr>
        <w:t xml:space="preserve">observed  48     table  numeric  </w:t>
      </w:r>
      <w:r>
        <w:br/>
      </w:r>
      <w:r>
        <w:rPr>
          <w:rStyle w:val="VerbatimChar"/>
        </w:rPr>
        <w:t xml:space="preserve">expected  48     -none- numeric  </w:t>
      </w:r>
      <w:r>
        <w:br/>
      </w:r>
      <w:r>
        <w:rPr>
          <w:rStyle w:val="VerbatimChar"/>
        </w:rPr>
        <w:t xml:space="preserve">residuals 48     table  numeric  </w:t>
      </w:r>
      <w:r>
        <w:br/>
      </w:r>
      <w:r>
        <w:rPr>
          <w:rStyle w:val="VerbatimChar"/>
        </w:rPr>
        <w:t xml:space="preserve">stdres    48     table  numeric  </w:t>
      </w:r>
    </w:p>
    <w:p>
      <w:pPr>
        <w:pStyle w:val="SourceCode"/>
      </w:pPr>
      <w:r>
        <w:rPr>
          <w:rStyle w:val="VerbatimChar"/>
        </w:rPr>
        <w:t xml:space="preserve">Warning in chisq.test(cont_tbl_occupation): Chi-squared approximation may be</w:t>
      </w:r>
      <w:r>
        <w:br/>
      </w:r>
      <w:r>
        <w:rPr>
          <w:rStyle w:val="VerbatimChar"/>
        </w:rPr>
        <w:t xml:space="preserve">incorrect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95"/>
        <w:gridCol w:w="1222"/>
        <w:gridCol w:w="1528"/>
        <w:gridCol w:w="3111"/>
      </w:tblGrid>
      <w:tr>
        <w:trPr>
          <w:trHeight w:val="665" w:hRule="auto"/>
        </w:trPr>
        body1
        <w:tc>
          <w:tcPr>
            <w:tcBorders>
              <w:bottom w:val="single" w:sz="3" w:space="0" w:color="000000"/>
              <w:top w:val="single" w:sz="3" w:space="0" w:color="000000"/>
              <w:left w:val="single" w:sz="3"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statistic</w:t>
            </w:r>
          </w:p>
        </w:tc>
        <w:tc>
          <w:tcPr>
            <w:tcBorders>
              <w:bottom w:val="single" w:sz="3"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c>
          <w:tcPr>
            <w:tcBorders>
              <w:bottom w:val="single" w:sz="3"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parameter</w:t>
            </w:r>
          </w:p>
        </w:tc>
        <w:tc>
          <w:tcPr>
            <w:tcBorders>
              <w:bottom w:val="single" w:sz="3" w:space="0" w:color="000000"/>
              <w:top w:val="single" w:sz="3" w:space="0" w:color="000000"/>
              <w:left w:val="none" w:sz="0" w:space="0" w:color="000000"/>
              <w:right w:val="single" w:sz="3"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method</w:t>
            </w:r>
          </w:p>
        </w:tc>
      </w:tr>
      <w:tr>
        <w:trPr>
          <w:trHeight w:val="668" w:hRule="auto"/>
        </w:trPr>
        body2
        <w:tc>
          <w:tcPr>
            <w:tcBorders>
              <w:bottom w:val="single" w:sz="3" w:space="0" w:color="000000"/>
              <w:top w:val="single" w:sz="3" w:space="0" w:color="000000"/>
              <w:left w:val="single" w:sz="3" w:space="0" w:color="000000"/>
              <w:right w:val="none" w:sz="0" w:space="0" w:color="000000"/>
            </w:tcBorders>
            <w:shd w:val="clear" w:color="auto" w:fill="F2F2F2"/>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16.5</w:t>
            </w:r>
          </w:p>
        </w:tc>
        <w:tc>
          <w:tcPr>
            <w:tcBorders>
              <w:bottom w:val="single" w:sz="3" w:space="0" w:color="000000"/>
              <w:top w:val="single" w:sz="3" w:space="0" w:color="000000"/>
              <w:left w:val="none" w:sz="0" w:space="0" w:color="000000"/>
              <w:right w:val="none" w:sz="0" w:space="0" w:color="000000"/>
            </w:tcBorders>
            <w:shd w:val="clear" w:color="auto" w:fill="F2F2F2"/>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0.688</w:t>
            </w:r>
          </w:p>
        </w:tc>
        <w:tc>
          <w:tcPr>
            <w:tcBorders>
              <w:bottom w:val="single" w:sz="3" w:space="0" w:color="000000"/>
              <w:top w:val="single" w:sz="3" w:space="0" w:color="000000"/>
              <w:left w:val="none" w:sz="0" w:space="0" w:color="000000"/>
              <w:right w:val="none" w:sz="0" w:space="0" w:color="000000"/>
            </w:tcBorders>
            <w:shd w:val="clear" w:color="auto" w:fill="F2F2F2"/>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3" w:space="0" w:color="000000"/>
              <w:top w:val="single" w:sz="3" w:space="0" w:color="000000"/>
              <w:left w:val="none" w:sz="0" w:space="0" w:color="000000"/>
              <w:right w:val="single" w:sz="3" w:space="0" w:color="000000"/>
            </w:tcBorders>
            <w:shd w:val="clear" w:color="auto" w:fill="F2F2F2"/>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w:t>
            </w:r>
          </w:p>
        </w:tc>
      </w:tr>
    </w:tbl>
    <w:bookmarkEnd w:id="47"/>
    <w:bookmarkEnd w:id="48"/>
    <w:bookmarkStart w:id="137" w:name="references"/>
    <w:p>
      <w:pPr>
        <w:pStyle w:val="Heading1"/>
      </w:pPr>
      <w:r>
        <w:t xml:space="preserve">7. References</w:t>
      </w:r>
    </w:p>
    <w:bookmarkStart w:id="136" w:name="refs"/>
    <w:bookmarkStart w:id="50" w:name="ref-jack2013"/>
    <w:p>
      <w:pPr>
        <w:pStyle w:val="Bibliography"/>
      </w:pPr>
      <w:r>
        <w:t xml:space="preserve">[1]</w:t>
      </w:r>
      <w:r>
        <w:t xml:space="preserve"> </w:t>
      </w:r>
      <w:r>
        <w:t xml:space="preserve">	</w:t>
      </w:r>
      <w:r>
        <w:t xml:space="preserve">Jack Clifford R, Holtzman David M. Biomarker Modeling of Alzheimer</w:t>
      </w:r>
      <w:r>
        <w:t xml:space="preserve">’</w:t>
      </w:r>
      <w:r>
        <w:t xml:space="preserve">s Disease. Neuron 2013;80:1347–58.</w:t>
      </w:r>
      <w:r>
        <w:t xml:space="preserve"> </w:t>
      </w:r>
      <w:hyperlink r:id="rId49">
        <w:r>
          <w:rPr>
            <w:rStyle w:val="Hyperlink"/>
          </w:rPr>
          <w:t xml:space="preserve">https://doi.org/10.1016/j.neuron.2013.12.003</w:t>
        </w:r>
      </w:hyperlink>
      <w:r>
        <w:t xml:space="preserve">.</w:t>
      </w:r>
    </w:p>
    <w:bookmarkEnd w:id="50"/>
    <w:bookmarkStart w:id="52" w:name="ref-apostolova2006"/>
    <w:p>
      <w:pPr>
        <w:pStyle w:val="Bibliography"/>
      </w:pPr>
      <w:r>
        <w:t xml:space="preserve">[2]</w:t>
      </w:r>
      <w:r>
        <w:t xml:space="preserve"> </w:t>
      </w:r>
      <w:r>
        <w:t xml:space="preserve">	</w:t>
      </w:r>
      <w:r>
        <w:t xml:space="preserve">Apostolova LG, Dutton RA, Dinov ID, Hayashi KM, Toga AW, Cummings JL, et al. Conversion of Mild Cognitive Impairment to Alzheimer Disease Predicted by Hippocampal Atrophy Maps. Archives of Neurology 2006;63:693.</w:t>
      </w:r>
      <w:r>
        <w:t xml:space="preserve"> </w:t>
      </w:r>
      <w:hyperlink r:id="rId51">
        <w:r>
          <w:rPr>
            <w:rStyle w:val="Hyperlink"/>
          </w:rPr>
          <w:t xml:space="preserve">https://doi.org/10.1001/archneur.63.5.693</w:t>
        </w:r>
      </w:hyperlink>
      <w:r>
        <w:t xml:space="preserve">.</w:t>
      </w:r>
    </w:p>
    <w:bookmarkEnd w:id="52"/>
    <w:bookmarkStart w:id="54" w:name="ref-riedel2016"/>
    <w:p>
      <w:pPr>
        <w:pStyle w:val="Bibliography"/>
      </w:pPr>
      <w:r>
        <w:t xml:space="preserve">[3]</w:t>
      </w:r>
      <w:r>
        <w:t xml:space="preserve"> </w:t>
      </w:r>
      <w:r>
        <w:t xml:space="preserve">	</w:t>
      </w:r>
      <w:r>
        <w:t xml:space="preserve">Riedel BC, Thompson PM, Brinton RD. Age, APOE and sex: Triad of risk of Alzheimer</w:t>
      </w:r>
      <w:r>
        <w:t xml:space="preserve">’</w:t>
      </w:r>
      <w:r>
        <w:t xml:space="preserve">s disease. The Journal of Steroid Biochemistry and Molecular Biology 2016;160:134–47.</w:t>
      </w:r>
      <w:r>
        <w:t xml:space="preserve"> </w:t>
      </w:r>
      <w:hyperlink r:id="rId53">
        <w:r>
          <w:rPr>
            <w:rStyle w:val="Hyperlink"/>
          </w:rPr>
          <w:t xml:space="preserve">https://doi.org/10.1016/j.jsbmb.2016.03.012</w:t>
        </w:r>
      </w:hyperlink>
      <w:r>
        <w:t xml:space="preserve">.</w:t>
      </w:r>
    </w:p>
    <w:bookmarkEnd w:id="54"/>
    <w:bookmarkStart w:id="56" w:name="ref-holland2013"/>
    <w:p>
      <w:pPr>
        <w:pStyle w:val="Bibliography"/>
      </w:pPr>
      <w:r>
        <w:t xml:space="preserve">[4]</w:t>
      </w:r>
      <w:r>
        <w:t xml:space="preserve"> </w:t>
      </w:r>
      <w:r>
        <w:t xml:space="preserve">	</w:t>
      </w:r>
      <w:r>
        <w:t xml:space="preserve">Holland D, Desikan RS, Dale AM, McEvoy LK. Higher Rates of Decline for Women and</w:t>
      </w:r>
      <w:r>
        <w:rPr>
          <w:i/>
          <w:iCs/>
        </w:rPr>
        <w:t xml:space="preserve">Apolipoprotein E</w:t>
      </w:r>
      <w:r>
        <w:t xml:space="preserve">ε4 Carriers. American Journal of Neuroradiology 2013;34:2287–93.</w:t>
      </w:r>
      <w:r>
        <w:t xml:space="preserve"> </w:t>
      </w:r>
      <w:hyperlink r:id="rId55">
        <w:r>
          <w:rPr>
            <w:rStyle w:val="Hyperlink"/>
          </w:rPr>
          <w:t xml:space="preserve">https://doi.org/10.3174/ajnr.a3601</w:t>
        </w:r>
      </w:hyperlink>
      <w:r>
        <w:t xml:space="preserve">.</w:t>
      </w:r>
    </w:p>
    <w:bookmarkEnd w:id="56"/>
    <w:bookmarkStart w:id="58" w:name="ref-ardekani2016"/>
    <w:p>
      <w:pPr>
        <w:pStyle w:val="Bibliography"/>
      </w:pPr>
      <w:r>
        <w:t xml:space="preserve">[5]</w:t>
      </w:r>
      <w:r>
        <w:t xml:space="preserve"> </w:t>
      </w:r>
      <w:r>
        <w:t xml:space="preserve">	</w:t>
      </w:r>
      <w:r>
        <w:t xml:space="preserve">Ardekani BA, Convit A, Bachman AH. Analysis of the MIRIAD data shows sex differences in hippocampal atrophy progression. Journal of Alzheimer’s Disease 2016;50:847–57.</w:t>
      </w:r>
      <w:r>
        <w:t xml:space="preserve"> </w:t>
      </w:r>
      <w:hyperlink r:id="rId57">
        <w:r>
          <w:rPr>
            <w:rStyle w:val="Hyperlink"/>
          </w:rPr>
          <w:t xml:space="preserve">https://doi.org/10.3233/jad-150780</w:t>
        </w:r>
      </w:hyperlink>
      <w:r>
        <w:t xml:space="preserve">.</w:t>
      </w:r>
    </w:p>
    <w:bookmarkEnd w:id="58"/>
    <w:bookmarkStart w:id="60" w:name="ref-andrews2025"/>
    <w:p>
      <w:pPr>
        <w:pStyle w:val="Bibliography"/>
      </w:pPr>
      <w:r>
        <w:t xml:space="preserve">[6]</w:t>
      </w:r>
      <w:r>
        <w:t xml:space="preserve"> </w:t>
      </w:r>
      <w:r>
        <w:t xml:space="preserve">	</w:t>
      </w:r>
      <w:r>
        <w:t xml:space="preserve">Andrews D, Ducharme S, Chertkow H, Sormani MP, Collins DL. The higher benefit of lecanemab in males compared to females in CLARITY AD is probably due to a real sex effect. Alzheimer’s &amp; Dementia 2025;21.</w:t>
      </w:r>
      <w:r>
        <w:t xml:space="preserve"> </w:t>
      </w:r>
      <w:hyperlink r:id="rId59">
        <w:r>
          <w:rPr>
            <w:rStyle w:val="Hyperlink"/>
          </w:rPr>
          <w:t xml:space="preserve">https://doi.org/10.1002/alz.14467</w:t>
        </w:r>
      </w:hyperlink>
      <w:r>
        <w:t xml:space="preserve">.</w:t>
      </w:r>
    </w:p>
    <w:bookmarkEnd w:id="60"/>
    <w:bookmarkStart w:id="62" w:name="ref-puri2023"/>
    <w:p>
      <w:pPr>
        <w:pStyle w:val="Bibliography"/>
      </w:pPr>
      <w:r>
        <w:t xml:space="preserve">[7]</w:t>
      </w:r>
      <w:r>
        <w:t xml:space="preserve"> </w:t>
      </w:r>
      <w:r>
        <w:t xml:space="preserve">	</w:t>
      </w:r>
      <w:r>
        <w:t xml:space="preserve">Puri TA, Richard JE, Galea LAM. Beyond sex differences: short- and long-term effects of pregnancy on the brain. Trends in Neurosciences 2023;46:459–71.</w:t>
      </w:r>
      <w:r>
        <w:t xml:space="preserve"> </w:t>
      </w:r>
      <w:hyperlink r:id="rId61">
        <w:r>
          <w:rPr>
            <w:rStyle w:val="Hyperlink"/>
          </w:rPr>
          <w:t xml:space="preserve">https://doi.org/10.1016/j.tins.2023.03.010</w:t>
        </w:r>
      </w:hyperlink>
      <w:r>
        <w:t xml:space="preserve">.</w:t>
      </w:r>
    </w:p>
    <w:bookmarkEnd w:id="62"/>
    <w:bookmarkStart w:id="64" w:name="ref-pawluski2007"/>
    <w:p>
      <w:pPr>
        <w:pStyle w:val="Bibliography"/>
      </w:pPr>
      <w:r>
        <w:t xml:space="preserve">[8]</w:t>
      </w:r>
      <w:r>
        <w:t xml:space="preserve"> </w:t>
      </w:r>
      <w:r>
        <w:t xml:space="preserve">	</w:t>
      </w:r>
      <w:r>
        <w:t xml:space="preserve">Pawluski JL, Galea LAM. Reproductive experience alters hippocampal neurogenesis during the postpartum period in the dam. Neuroscience 2007;149:53–67.</w:t>
      </w:r>
      <w:r>
        <w:t xml:space="preserve"> </w:t>
      </w:r>
      <w:hyperlink r:id="rId63">
        <w:r>
          <w:rPr>
            <w:rStyle w:val="Hyperlink"/>
          </w:rPr>
          <w:t xml:space="preserve">https://doi.org/10.1016/j.neuroscience.2007.07.031</w:t>
        </w:r>
      </w:hyperlink>
      <w:r>
        <w:t xml:space="preserve">.</w:t>
      </w:r>
    </w:p>
    <w:bookmarkEnd w:id="64"/>
    <w:bookmarkStart w:id="66" w:name="ref-eid2019"/>
    <w:p>
      <w:pPr>
        <w:pStyle w:val="Bibliography"/>
      </w:pPr>
      <w:r>
        <w:t xml:space="preserve">[9]</w:t>
      </w:r>
      <w:r>
        <w:t xml:space="preserve"> </w:t>
      </w:r>
      <w:r>
        <w:t xml:space="preserve">	</w:t>
      </w:r>
      <w:r>
        <w:t xml:space="preserve">Eid RS, Chaiton JA, Lieblich SE, Bodnar TS, Weinberg J, Galea LAM. Early and late effects of maternal experience on hippocampal neurogenesis, microglia, and the circulating cytokine milieu. Neurobiology of Aging 2019;78:1–17.</w:t>
      </w:r>
      <w:r>
        <w:t xml:space="preserve"> </w:t>
      </w:r>
      <w:hyperlink r:id="rId65">
        <w:r>
          <w:rPr>
            <w:rStyle w:val="Hyperlink"/>
          </w:rPr>
          <w:t xml:space="preserve">https://doi.org/10.1016/j.neurobiolaging.2019.01.021</w:t>
        </w:r>
      </w:hyperlink>
      <w:r>
        <w:t xml:space="preserve">.</w:t>
      </w:r>
    </w:p>
    <w:bookmarkEnd w:id="66"/>
    <w:bookmarkStart w:id="68" w:name="ref-martínez-garcía2021"/>
    <w:p>
      <w:pPr>
        <w:pStyle w:val="Bibliography"/>
      </w:pPr>
      <w:r>
        <w:t xml:space="preserve">[10]</w:t>
      </w:r>
      <w:r>
        <w:t xml:space="preserve"> </w:t>
      </w:r>
      <w:r>
        <w:t xml:space="preserve">	</w:t>
      </w:r>
      <w:r>
        <w:t xml:space="preserve">Martínez-García M, Paternina-Die M, Barba-Müller E, Martín de Blas D, Beumala L, Cortizo R, et al. Do Pregnancy-Induced Brain Changes Reverse? The Brain of a Mother Six Years after Parturition. Brain Sciences 2021;11:168.</w:t>
      </w:r>
      <w:r>
        <w:t xml:space="preserve"> </w:t>
      </w:r>
      <w:hyperlink r:id="rId67">
        <w:r>
          <w:rPr>
            <w:rStyle w:val="Hyperlink"/>
          </w:rPr>
          <w:t xml:space="preserve">https://doi.org/10.3390/brainsci11020168</w:t>
        </w:r>
      </w:hyperlink>
      <w:r>
        <w:t xml:space="preserve">.</w:t>
      </w:r>
    </w:p>
    <w:bookmarkEnd w:id="68"/>
    <w:bookmarkStart w:id="70" w:name="ref-cacciaglia2025"/>
    <w:p>
      <w:pPr>
        <w:pStyle w:val="Bibliography"/>
      </w:pPr>
      <w:r>
        <w:t xml:space="preserve">[11]</w:t>
      </w:r>
      <w:r>
        <w:t xml:space="preserve"> </w:t>
      </w:r>
      <w:r>
        <w:t xml:space="preserve">	</w:t>
      </w:r>
      <w:r>
        <w:t xml:space="preserve">Cacciaglia R, Falcón C, Benavides GS, Brugulat-Serrat A, Alomà MM, Calvet MS, et al. Soluble Aβ pathology predicts neurodegeneration and cognitive decline independently on p</w:t>
      </w:r>
      <w:r>
        <w:t xml:space="preserve">-</w:t>
      </w:r>
      <w:r>
        <w:t xml:space="preserve">tau in the earliest Alzheimer’s</w:t>
      </w:r>
      <w:r>
        <w:t xml:space="preserve"> </w:t>
      </w:r>
      <w:r>
        <w:rPr>
          <w:i/>
          <w:iCs/>
        </w:rPr>
        <w:t xml:space="preserve">continuum</w:t>
      </w:r>
      <w:r>
        <w:t xml:space="preserve">: Evidence across two independent cohorts. Alzheimer’s &amp; Dementia 2025;21.</w:t>
      </w:r>
      <w:r>
        <w:t xml:space="preserve"> </w:t>
      </w:r>
      <w:hyperlink r:id="rId69">
        <w:r>
          <w:rPr>
            <w:rStyle w:val="Hyperlink"/>
          </w:rPr>
          <w:t xml:space="preserve">https://doi.org/10.1002/alz.14415</w:t>
        </w:r>
      </w:hyperlink>
      <w:r>
        <w:t xml:space="preserve">.</w:t>
      </w:r>
    </w:p>
    <w:bookmarkEnd w:id="70"/>
    <w:bookmarkStart w:id="72" w:name="ref-Colucci2006"/>
    <w:p>
      <w:pPr>
        <w:pStyle w:val="Bibliography"/>
      </w:pPr>
      <w:r>
        <w:t xml:space="preserve">[12]</w:t>
      </w:r>
      <w:r>
        <w:t xml:space="preserve"> </w:t>
      </w:r>
      <w:r>
        <w:t xml:space="preserve">	</w:t>
      </w:r>
      <w:r>
        <w:t xml:space="preserve">Colucci M, Cammarata S, Assini A, Croce R, Clerici F, Novello C, et al. The number of pregnancies is a risk factor for Alzheimer’s disease. European Journal of Neurology 2006;13:1374–7.</w:t>
      </w:r>
      <w:r>
        <w:t xml:space="preserve"> </w:t>
      </w:r>
      <w:hyperlink r:id="rId71">
        <w:r>
          <w:rPr>
            <w:rStyle w:val="Hyperlink"/>
          </w:rPr>
          <w:t xml:space="preserve">https://doi.org/10.1111/j.1468-1331.2006.01520.x</w:t>
        </w:r>
      </w:hyperlink>
      <w:r>
        <w:t xml:space="preserve">.</w:t>
      </w:r>
    </w:p>
    <w:bookmarkEnd w:id="72"/>
    <w:bookmarkStart w:id="74" w:name="ref-bae2020"/>
    <w:p>
      <w:pPr>
        <w:pStyle w:val="Bibliography"/>
      </w:pPr>
      <w:r>
        <w:t xml:space="preserve">[13]</w:t>
      </w:r>
      <w:r>
        <w:t xml:space="preserve"> </w:t>
      </w:r>
      <w:r>
        <w:t xml:space="preserve">	</w:t>
      </w:r>
      <w:r>
        <w:t xml:space="preserve">Bae JB, Lipnicki DM, Han JW, Sachdev PS, Kim TH, Kwak KP, et al. Does parity matter in women</w:t>
      </w:r>
      <w:r>
        <w:t xml:space="preserve">’</w:t>
      </w:r>
      <w:r>
        <w:t xml:space="preserve">s risk of dementia? A COSMIC collaboration cohort study. BMC Medicine 2020;18.</w:t>
      </w:r>
      <w:r>
        <w:t xml:space="preserve"> </w:t>
      </w:r>
      <w:hyperlink r:id="rId73">
        <w:r>
          <w:rPr>
            <w:rStyle w:val="Hyperlink"/>
          </w:rPr>
          <w:t xml:space="preserve">https://doi.org/10.1186/s12916-020-01671-1</w:t>
        </w:r>
      </w:hyperlink>
      <w:r>
        <w:t xml:space="preserve">.</w:t>
      </w:r>
    </w:p>
    <w:bookmarkEnd w:id="74"/>
    <w:bookmarkStart w:id="76" w:name="ref-wolfova2024"/>
    <w:p>
      <w:pPr>
        <w:pStyle w:val="Bibliography"/>
      </w:pPr>
      <w:r>
        <w:t xml:space="preserve">[14]</w:t>
      </w:r>
      <w:r>
        <w:t xml:space="preserve"> </w:t>
      </w:r>
      <w:r>
        <w:t xml:space="preserve">	</w:t>
      </w:r>
      <w:r>
        <w:t xml:space="preserve">Wolfova K, Hubbard RA, Brennan Kearns P, Chang VW, Crane P, LaCroix AZ, et al. Number of children and risk of dementia: a cohort study. Journal of Epidemiology and Community Health 2024;79:280–7.</w:t>
      </w:r>
      <w:r>
        <w:t xml:space="preserve"> </w:t>
      </w:r>
      <w:hyperlink r:id="rId75">
        <w:r>
          <w:rPr>
            <w:rStyle w:val="Hyperlink"/>
          </w:rPr>
          <w:t xml:space="preserve">https://doi.org/10.1136/jech-2024-222717</w:t>
        </w:r>
      </w:hyperlink>
      <w:r>
        <w:t xml:space="preserve">.</w:t>
      </w:r>
    </w:p>
    <w:bookmarkEnd w:id="76"/>
    <w:bookmarkStart w:id="78" w:name="ref-fox2013"/>
    <w:p>
      <w:pPr>
        <w:pStyle w:val="Bibliography"/>
      </w:pPr>
      <w:r>
        <w:t xml:space="preserve">[15]</w:t>
      </w:r>
      <w:r>
        <w:t xml:space="preserve"> </w:t>
      </w:r>
      <w:r>
        <w:t xml:space="preserve">	</w:t>
      </w:r>
      <w:r>
        <w:t xml:space="preserve">Fox M, Berzuini C, Knapp LA. Cumulative estrogen exposure, number of menstrual cycles, and Alzheimer’s risk in a cohort of British women. Psychoneuroendocrinology 2013;38:2973–82.</w:t>
      </w:r>
      <w:r>
        <w:t xml:space="preserve"> </w:t>
      </w:r>
      <w:hyperlink r:id="rId77">
        <w:r>
          <w:rPr>
            <w:rStyle w:val="Hyperlink"/>
          </w:rPr>
          <w:t xml:space="preserve">https://doi.org/10.1016/j.psyneuen.2013.08.005</w:t>
        </w:r>
      </w:hyperlink>
      <w:r>
        <w:t xml:space="preserve">.</w:t>
      </w:r>
    </w:p>
    <w:bookmarkEnd w:id="78"/>
    <w:bookmarkStart w:id="80" w:name="ref-keinert2023"/>
    <w:p>
      <w:pPr>
        <w:pStyle w:val="Bibliography"/>
      </w:pPr>
      <w:r>
        <w:t xml:space="preserve">[16]</w:t>
      </w:r>
      <w:r>
        <w:t xml:space="preserve"> </w:t>
      </w:r>
      <w:r>
        <w:t xml:space="preserve">	</w:t>
      </w:r>
      <w:r>
        <w:t xml:space="preserve">Keinert AAM, Bertola L, Lima-Costa MF, Ferri CP, Barbosa MG. The impact of female reproductive period length, parity, and hormonal replacement therapy on cognitive performance. Alzheimer’s &amp; Dementia 2023;19.</w:t>
      </w:r>
      <w:r>
        <w:t xml:space="preserve"> </w:t>
      </w:r>
      <w:hyperlink r:id="rId79">
        <w:r>
          <w:rPr>
            <w:rStyle w:val="Hyperlink"/>
          </w:rPr>
          <w:t xml:space="preserve">https://doi.org/10.1002/alz.077158</w:t>
        </w:r>
      </w:hyperlink>
      <w:r>
        <w:t xml:space="preserve">.</w:t>
      </w:r>
    </w:p>
    <w:bookmarkEnd w:id="80"/>
    <w:bookmarkStart w:id="82" w:name="ref-lee2025"/>
    <w:p>
      <w:pPr>
        <w:pStyle w:val="Bibliography"/>
      </w:pPr>
      <w:r>
        <w:t xml:space="preserve">[17]</w:t>
      </w:r>
      <w:r>
        <w:t xml:space="preserve"> </w:t>
      </w:r>
      <w:r>
        <w:t xml:space="preserve">	</w:t>
      </w:r>
      <w:r>
        <w:t xml:space="preserve">Lee BH, Barha CK, Chaiton J, Lieblich SE, Wong S, Hodges TE, et al. Previous parity differentially influences cognition in later life depending on dementia status. Npj Dementia 2025;1.</w:t>
      </w:r>
      <w:r>
        <w:t xml:space="preserve"> </w:t>
      </w:r>
      <w:hyperlink r:id="rId81">
        <w:r>
          <w:rPr>
            <w:rStyle w:val="Hyperlink"/>
          </w:rPr>
          <w:t xml:space="preserve">https://doi.org/10.1038/s44400-025-00035-x</w:t>
        </w:r>
      </w:hyperlink>
      <w:r>
        <w:t xml:space="preserve">.</w:t>
      </w:r>
    </w:p>
    <w:bookmarkEnd w:id="82"/>
    <w:bookmarkStart w:id="84" w:name="ref-Beeri2009a"/>
    <w:p>
      <w:pPr>
        <w:pStyle w:val="Bibliography"/>
      </w:pPr>
      <w:r>
        <w:t xml:space="preserve">[18]</w:t>
      </w:r>
      <w:r>
        <w:t xml:space="preserve"> </w:t>
      </w:r>
      <w:r>
        <w:t xml:space="preserve">	</w:t>
      </w:r>
      <w:r>
        <w:t xml:space="preserve">Beeri MS, Rapp M, Schmeidler J, Reichenberg A, Purohit DP, Perl DP, et al. Number of children is associated with neuropathology of Alzheimer’s disease in women. Neurobiology of Aging 2009;30:1184–91.</w:t>
      </w:r>
      <w:r>
        <w:t xml:space="preserve"> </w:t>
      </w:r>
      <w:hyperlink r:id="rId83">
        <w:r>
          <w:rPr>
            <w:rStyle w:val="Hyperlink"/>
          </w:rPr>
          <w:t xml:space="preserve">https://doi.org/10.1016/j.neurobiolaging.2007.11.011</w:t>
        </w:r>
      </w:hyperlink>
      <w:r>
        <w:t xml:space="preserve">.</w:t>
      </w:r>
    </w:p>
    <w:bookmarkEnd w:id="84"/>
    <w:bookmarkStart w:id="86" w:name="ref-jung2020"/>
    <w:p>
      <w:pPr>
        <w:pStyle w:val="Bibliography"/>
      </w:pPr>
      <w:r>
        <w:t xml:space="preserve">[19]</w:t>
      </w:r>
      <w:r>
        <w:t xml:space="preserve"> </w:t>
      </w:r>
      <w:r>
        <w:t xml:space="preserve">	</w:t>
      </w:r>
      <w:r>
        <w:t xml:space="preserve">Jung JH, Lee GW, Lee JH, Byun MS, Yi D, Jeon SY, et al. Multiparity, brain atrophy, and cognitive decline. Frontiers in Aging Neuroscience 2020;12.</w:t>
      </w:r>
      <w:r>
        <w:t xml:space="preserve"> </w:t>
      </w:r>
      <w:hyperlink r:id="rId85">
        <w:r>
          <w:rPr>
            <w:rStyle w:val="Hyperlink"/>
          </w:rPr>
          <w:t xml:space="preserve">https://doi.org/10.3389/fnagi.2020.00159</w:t>
        </w:r>
      </w:hyperlink>
      <w:r>
        <w:t xml:space="preserve">.</w:t>
      </w:r>
    </w:p>
    <w:bookmarkEnd w:id="86"/>
    <w:bookmarkStart w:id="88" w:name="ref-molinuevo2016"/>
    <w:p>
      <w:pPr>
        <w:pStyle w:val="Bibliography"/>
      </w:pPr>
      <w:r>
        <w:t xml:space="preserve">[20]</w:t>
      </w:r>
      <w:r>
        <w:t xml:space="preserve"> </w:t>
      </w:r>
      <w:r>
        <w:t xml:space="preserve">	</w:t>
      </w:r>
      <w:r>
        <w:t xml:space="preserve">Molinuevo JL, Gramunt N, Gispert JD, Fauria K, Esteller M, Minguillon C, et al. The ALFA project: A research platform to identify early pathophysiological features of Alzheimer’s disease. Alzheimer’s &amp; Dementia: Translational Research &amp; Clinical Interventions 2016;2:82–92.</w:t>
      </w:r>
      <w:r>
        <w:t xml:space="preserve"> </w:t>
      </w:r>
      <w:hyperlink r:id="rId87">
        <w:r>
          <w:rPr>
            <w:rStyle w:val="Hyperlink"/>
          </w:rPr>
          <w:t xml:space="preserve">https://doi.org/10.1016/j.trci.2016.02.003</w:t>
        </w:r>
      </w:hyperlink>
      <w:r>
        <w:t xml:space="preserve">.</w:t>
      </w:r>
    </w:p>
    <w:bookmarkEnd w:id="88"/>
    <w:bookmarkStart w:id="90" w:name="ref-buschke2017"/>
    <w:p>
      <w:pPr>
        <w:pStyle w:val="Bibliography"/>
      </w:pPr>
      <w:r>
        <w:t xml:space="preserve">[21]</w:t>
      </w:r>
      <w:r>
        <w:t xml:space="preserve"> </w:t>
      </w:r>
      <w:r>
        <w:t xml:space="preserve">	</w:t>
      </w:r>
      <w:r>
        <w:t xml:space="preserve">Buschke H, Mowrey WB, Ramratan WS, Zimmerman ME, Loewenstein DA, Katz MJ, et al. Memory Binding Test Distinguishes Amnestic Mild Cognitive Impairment and Dementia from Cognitively Normal Elderly. Archives of Clinical Neuropsychology 2017;32:29–39.</w:t>
      </w:r>
      <w:r>
        <w:t xml:space="preserve"> </w:t>
      </w:r>
      <w:hyperlink r:id="rId89">
        <w:r>
          <w:rPr>
            <w:rStyle w:val="Hyperlink"/>
          </w:rPr>
          <w:t xml:space="preserve">https://doi.org/10.1093/arclin/acw083</w:t>
        </w:r>
      </w:hyperlink>
      <w:r>
        <w:t xml:space="preserve">.</w:t>
      </w:r>
    </w:p>
    <w:bookmarkEnd w:id="90"/>
    <w:bookmarkStart w:id="92" w:name="ref-lópez-martos2025"/>
    <w:p>
      <w:pPr>
        <w:pStyle w:val="Bibliography"/>
      </w:pPr>
      <w:r>
        <w:t xml:space="preserve">[22]</w:t>
      </w:r>
      <w:r>
        <w:t xml:space="preserve"> </w:t>
      </w:r>
      <w:r>
        <w:t xml:space="preserve">	</w:t>
      </w:r>
      <w:r>
        <w:t xml:space="preserve">López-Martos D, Suárez-Calvet M, Milà-Alomà M, Gispert JD, Salvadó G, Brugulat-Serrat A, et al. Longitudinal Associations of Multimodal Core 1 Alzheimer Disease Biomarkers With Cognition in Aging and Preclinical Alzheimer Disease. Neurology 2025;105.</w:t>
      </w:r>
      <w:r>
        <w:t xml:space="preserve"> </w:t>
      </w:r>
      <w:hyperlink r:id="rId91">
        <w:r>
          <w:rPr>
            <w:rStyle w:val="Hyperlink"/>
          </w:rPr>
          <w:t xml:space="preserve">https://doi.org/10.1212/wnl.0000000000214308</w:t>
        </w:r>
      </w:hyperlink>
      <w:r>
        <w:t xml:space="preserve">.</w:t>
      </w:r>
    </w:p>
    <w:bookmarkEnd w:id="92"/>
    <w:bookmarkStart w:id="94" w:name="ref-Milà-Alomà2020"/>
    <w:p>
      <w:pPr>
        <w:pStyle w:val="Bibliography"/>
      </w:pPr>
      <w:r>
        <w:t xml:space="preserve">[23]</w:t>
      </w:r>
      <w:r>
        <w:t xml:space="preserve"> </w:t>
      </w:r>
      <w:r>
        <w:t xml:space="preserve">	</w:t>
      </w:r>
      <w:r>
        <w:t xml:space="preserve">Milà-Alomà M, Salvadó G, Gispert JD, Vilor-Tejedor N, Grau-Rivera O, Sala-Vila A, et al. Amyloid beta, tau, synaptic, neurodegeneration, and glial biomarkers in the preclinical stage of the Alzheimer’s</w:t>
      </w:r>
      <w:r>
        <w:t xml:space="preserve"> </w:t>
      </w:r>
      <w:r>
        <w:rPr>
          <w:i/>
          <w:iCs/>
        </w:rPr>
        <w:t xml:space="preserve">continuum</w:t>
      </w:r>
      <w:r>
        <w:t xml:space="preserve">. Alzheimer’s &amp; Dementia 2020;16:1358–71.</w:t>
      </w:r>
      <w:r>
        <w:t xml:space="preserve"> </w:t>
      </w:r>
      <w:hyperlink r:id="rId93">
        <w:r>
          <w:rPr>
            <w:rStyle w:val="Hyperlink"/>
          </w:rPr>
          <w:t xml:space="preserve">https://doi.org/10.1002/alz.12131</w:t>
        </w:r>
      </w:hyperlink>
      <w:r>
        <w:t xml:space="preserve">.</w:t>
      </w:r>
    </w:p>
    <w:bookmarkEnd w:id="94"/>
    <w:bookmarkStart w:id="96" w:name="ref-Yushkevich2015"/>
    <w:p>
      <w:pPr>
        <w:pStyle w:val="Bibliography"/>
      </w:pPr>
      <w:r>
        <w:t xml:space="preserve">[24]</w:t>
      </w:r>
      <w:r>
        <w:t xml:space="preserve"> </w:t>
      </w:r>
      <w:r>
        <w:t xml:space="preserve">	</w:t>
      </w:r>
      <w:r>
        <w:t xml:space="preserve">Yushkevich PA, Pluta JB, Wang H, Xie L, Ding S-L, Gertje EC, et al. Automated volumetry and regional thickness analysis of hippocampal subfields and medial temporal cortical structures in mild cognitive impairment. Human Brain Mapping 2014;36:258–87.</w:t>
      </w:r>
      <w:r>
        <w:t xml:space="preserve"> </w:t>
      </w:r>
      <w:hyperlink r:id="rId95">
        <w:r>
          <w:rPr>
            <w:rStyle w:val="Hyperlink"/>
          </w:rPr>
          <w:t xml:space="preserve">https://doi.org/10.1002/hbm.22627</w:t>
        </w:r>
      </w:hyperlink>
      <w:r>
        <w:t xml:space="preserve">.</w:t>
      </w:r>
    </w:p>
    <w:bookmarkEnd w:id="96"/>
    <w:bookmarkStart w:id="98" w:name="ref-smith2002"/>
    <w:p>
      <w:pPr>
        <w:pStyle w:val="Bibliography"/>
      </w:pPr>
      <w:r>
        <w:t xml:space="preserve">[25]</w:t>
      </w:r>
      <w:r>
        <w:t xml:space="preserve"> </w:t>
      </w:r>
      <w:r>
        <w:t xml:space="preserve">	</w:t>
      </w:r>
      <w:r>
        <w:t xml:space="preserve">Smith SM. Fast robust automated brain extraction. Human Brain Mapping 2002;17:143–55.</w:t>
      </w:r>
      <w:r>
        <w:t xml:space="preserve"> </w:t>
      </w:r>
      <w:hyperlink r:id="rId97">
        <w:r>
          <w:rPr>
            <w:rStyle w:val="Hyperlink"/>
          </w:rPr>
          <w:t xml:space="preserve">https://doi.org/10.1002/hbm.10062</w:t>
        </w:r>
      </w:hyperlink>
      <w:r>
        <w:t xml:space="preserve">.</w:t>
      </w:r>
    </w:p>
    <w:bookmarkEnd w:id="98"/>
    <w:bookmarkStart w:id="100" w:name="ref-lenth2017"/>
    <w:p>
      <w:pPr>
        <w:pStyle w:val="Bibliography"/>
      </w:pPr>
      <w:r>
        <w:t xml:space="preserve">[26]</w:t>
      </w:r>
      <w:r>
        <w:t xml:space="preserve"> </w:t>
      </w:r>
      <w:r>
        <w:t xml:space="preserve">	</w:t>
      </w:r>
      <w:r>
        <w:t xml:space="preserve">Lenth RV, Piaskowski J. Emmeans: Estimated marginal means, aka least-squares means 2017.</w:t>
      </w:r>
      <w:r>
        <w:t xml:space="preserve"> </w:t>
      </w:r>
      <w:hyperlink r:id="rId99">
        <w:r>
          <w:rPr>
            <w:rStyle w:val="Hyperlink"/>
          </w:rPr>
          <w:t xml:space="preserve">https://doi.org/10.32614/cran.package.emmeans</w:t>
        </w:r>
      </w:hyperlink>
      <w:r>
        <w:t xml:space="preserve">.</w:t>
      </w:r>
    </w:p>
    <w:bookmarkEnd w:id="100"/>
    <w:bookmarkStart w:id="102" w:name="ref-buuren2011"/>
    <w:p>
      <w:pPr>
        <w:pStyle w:val="Bibliography"/>
      </w:pPr>
      <w:r>
        <w:t xml:space="preserve">[27]</w:t>
      </w:r>
      <w:r>
        <w:t xml:space="preserve"> </w:t>
      </w:r>
      <w:r>
        <w:t xml:space="preserve">	</w:t>
      </w:r>
      <w:r>
        <w:t xml:space="preserve">Buuren S van, Groothuis-Oudshoorn K.</w:t>
      </w:r>
      <w:r>
        <w:t xml:space="preserve"> </w:t>
      </w:r>
      <w:r>
        <w:rPr>
          <w:b/>
          <w:bCs/>
        </w:rPr>
        <w:t xml:space="preserve">mice</w:t>
      </w:r>
      <w:r>
        <w:t xml:space="preserve">: Multivariate Imputation by Chained Equations in</w:t>
      </w:r>
      <w:r>
        <w:rPr>
          <w:i/>
          <w:iCs/>
        </w:rPr>
        <w:t xml:space="preserve">R</w:t>
      </w:r>
      <w:r>
        <w:t xml:space="preserve">. Journal of Statistical Software 2011;45.</w:t>
      </w:r>
      <w:r>
        <w:t xml:space="preserve"> </w:t>
      </w:r>
      <w:hyperlink r:id="rId101">
        <w:r>
          <w:rPr>
            <w:rStyle w:val="Hyperlink"/>
          </w:rPr>
          <w:t xml:space="preserve">https://doi.org/10.18637/jss.v045.i03</w:t>
        </w:r>
      </w:hyperlink>
      <w:r>
        <w:t xml:space="preserve">.</w:t>
      </w:r>
    </w:p>
    <w:bookmarkEnd w:id="102"/>
    <w:bookmarkStart w:id="104" w:name="ref-wickham2019"/>
    <w:p>
      <w:pPr>
        <w:pStyle w:val="Bibliography"/>
      </w:pPr>
      <w:r>
        <w:t xml:space="preserve">[28]</w:t>
      </w:r>
      <w:r>
        <w:t xml:space="preserve"> </w:t>
      </w:r>
      <w:r>
        <w:t xml:space="preserve">	</w:t>
      </w:r>
      <w:r>
        <w:t xml:space="preserve">Wickham H, Averick M, Bryan J, Chang W, McGowan L, François R, et al. Welcome to the tidyverse. Journal of Open Source Software 2019;4:1686.</w:t>
      </w:r>
      <w:r>
        <w:t xml:space="preserve"> </w:t>
      </w:r>
      <w:hyperlink r:id="rId103">
        <w:r>
          <w:rPr>
            <w:rStyle w:val="Hyperlink"/>
          </w:rPr>
          <w:t xml:space="preserve">https://doi.org/10.21105/joss.01686</w:t>
        </w:r>
      </w:hyperlink>
      <w:r>
        <w:t xml:space="preserve">.</w:t>
      </w:r>
    </w:p>
    <w:bookmarkEnd w:id="104"/>
    <w:bookmarkStart w:id="106" w:name="ref-sjoberg2021"/>
    <w:p>
      <w:pPr>
        <w:pStyle w:val="Bibliography"/>
      </w:pPr>
      <w:r>
        <w:t xml:space="preserve">[29]</w:t>
      </w:r>
      <w:r>
        <w:t xml:space="preserve"> </w:t>
      </w:r>
      <w:r>
        <w:t xml:space="preserve">	</w:t>
      </w:r>
      <w:r>
        <w:t xml:space="preserve">Sjoberg Daniel,D, Whiting K, Curry M, Lavery Jessica,A, Larmarange J. Reproducible Summary Tables with the gtsummary Package. The R Journal 2021;13:570.</w:t>
      </w:r>
      <w:r>
        <w:t xml:space="preserve"> </w:t>
      </w:r>
      <w:hyperlink r:id="rId105">
        <w:r>
          <w:rPr>
            <w:rStyle w:val="Hyperlink"/>
          </w:rPr>
          <w:t xml:space="preserve">https://doi.org/10.32614/rj-2021-053</w:t>
        </w:r>
      </w:hyperlink>
      <w:r>
        <w:t xml:space="preserve">.</w:t>
      </w:r>
    </w:p>
    <w:bookmarkEnd w:id="106"/>
    <w:bookmarkStart w:id="108" w:name="ref-lüdecke2018"/>
    <w:p>
      <w:pPr>
        <w:pStyle w:val="Bibliography"/>
      </w:pPr>
      <w:r>
        <w:t xml:space="preserve">[30]</w:t>
      </w:r>
      <w:r>
        <w:t xml:space="preserve"> </w:t>
      </w:r>
      <w:r>
        <w:t xml:space="preserve">	</w:t>
      </w:r>
      <w:r>
        <w:t xml:space="preserve">Lüdecke D. Ggeffects: Tidy data frames of marginal effects from regression models. Journal of Open Source Software 2018;3:772.</w:t>
      </w:r>
      <w:r>
        <w:t xml:space="preserve"> </w:t>
      </w:r>
      <w:hyperlink r:id="rId107">
        <w:r>
          <w:rPr>
            <w:rStyle w:val="Hyperlink"/>
          </w:rPr>
          <w:t xml:space="preserve">https://doi.org/10.21105/joss.00772</w:t>
        </w:r>
      </w:hyperlink>
      <w:r>
        <w:t xml:space="preserve">.</w:t>
      </w:r>
    </w:p>
    <w:bookmarkEnd w:id="108"/>
    <w:bookmarkStart w:id="110" w:name="ref-bates2015"/>
    <w:p>
      <w:pPr>
        <w:pStyle w:val="Bibliography"/>
      </w:pPr>
      <w:r>
        <w:t xml:space="preserve">[31]</w:t>
      </w:r>
      <w:r>
        <w:t xml:space="preserve"> </w:t>
      </w:r>
      <w:r>
        <w:t xml:space="preserve">	</w:t>
      </w:r>
      <w:r>
        <w:t xml:space="preserve">Bates D, Mächler M, Bolker B, Walker S. Fitting Linear Mixed-Effects Models Using</w:t>
      </w:r>
      <w:r>
        <w:rPr>
          <w:b/>
          <w:bCs/>
        </w:rPr>
        <w:t xml:space="preserve">lme4</w:t>
      </w:r>
      <w:r>
        <w:t xml:space="preserve">. Journal of Statistical Software 2015;67.</w:t>
      </w:r>
      <w:r>
        <w:t xml:space="preserve"> </w:t>
      </w:r>
      <w:hyperlink r:id="rId109">
        <w:r>
          <w:rPr>
            <w:rStyle w:val="Hyperlink"/>
          </w:rPr>
          <w:t xml:space="preserve">https://doi.org/10.18637/jss.v067.i01</w:t>
        </w:r>
      </w:hyperlink>
      <w:r>
        <w:t xml:space="preserve">.</w:t>
      </w:r>
    </w:p>
    <w:bookmarkEnd w:id="110"/>
    <w:bookmarkStart w:id="112" w:name="ref-tingley2014"/>
    <w:p>
      <w:pPr>
        <w:pStyle w:val="Bibliography"/>
      </w:pPr>
      <w:r>
        <w:t xml:space="preserve">[32]</w:t>
      </w:r>
      <w:r>
        <w:t xml:space="preserve"> </w:t>
      </w:r>
      <w:r>
        <w:t xml:space="preserve">	</w:t>
      </w:r>
      <w:r>
        <w:t xml:space="preserve">Tingley D, Yamamoto T, Hirose K, Keele L, Imai K.</w:t>
      </w:r>
      <w:r>
        <w:t xml:space="preserve"> </w:t>
      </w:r>
      <w:r>
        <w:rPr>
          <w:b/>
          <w:bCs/>
        </w:rPr>
        <w:t xml:space="preserve">mediation</w:t>
      </w:r>
      <w:r>
        <w:t xml:space="preserve">:</w:t>
      </w:r>
      <w:r>
        <w:rPr>
          <w:i/>
          <w:iCs/>
        </w:rPr>
        <w:t xml:space="preserve">R</w:t>
      </w:r>
      <w:r>
        <w:t xml:space="preserve">Package for Causal Mediation Analysis. Journal of Statistical Software 2014;59.</w:t>
      </w:r>
      <w:r>
        <w:t xml:space="preserve"> </w:t>
      </w:r>
      <w:hyperlink r:id="rId111">
        <w:r>
          <w:rPr>
            <w:rStyle w:val="Hyperlink"/>
          </w:rPr>
          <w:t xml:space="preserve">https://doi.org/10.18637/jss.v059.i05</w:t>
        </w:r>
      </w:hyperlink>
      <w:r>
        <w:t xml:space="preserve">.</w:t>
      </w:r>
    </w:p>
    <w:bookmarkEnd w:id="112"/>
    <w:bookmarkStart w:id="114" w:name="ref-duarte-guterman2023"/>
    <w:p>
      <w:pPr>
        <w:pStyle w:val="Bibliography"/>
      </w:pPr>
      <w:r>
        <w:t xml:space="preserve">[33]</w:t>
      </w:r>
      <w:r>
        <w:t xml:space="preserve"> </w:t>
      </w:r>
      <w:r>
        <w:t xml:space="preserve">	</w:t>
      </w:r>
      <w:r>
        <w:t xml:space="preserve">Duarte-Guterman P, Richard JE, Lieblich SE, Eid RS, Lamers Y, Galea LAM. Cellular and molecular signatures of motherhood in the adult and ageing rat brain. Open Biology 2023;13.</w:t>
      </w:r>
      <w:r>
        <w:t xml:space="preserve"> </w:t>
      </w:r>
      <w:hyperlink r:id="rId113">
        <w:r>
          <w:rPr>
            <w:rStyle w:val="Hyperlink"/>
          </w:rPr>
          <w:t xml:space="preserve">https://doi.org/10.1098/rsob.230217</w:t>
        </w:r>
      </w:hyperlink>
      <w:r>
        <w:t xml:space="preserve">.</w:t>
      </w:r>
    </w:p>
    <w:bookmarkEnd w:id="114"/>
    <w:bookmarkStart w:id="116" w:name="ref-brinton2015"/>
    <w:p>
      <w:pPr>
        <w:pStyle w:val="Bibliography"/>
      </w:pPr>
      <w:r>
        <w:t xml:space="preserve">[34]</w:t>
      </w:r>
      <w:r>
        <w:t xml:space="preserve"> </w:t>
      </w:r>
      <w:r>
        <w:t xml:space="preserve">	</w:t>
      </w:r>
      <w:r>
        <w:t xml:space="preserve">Brinton RD, Yao J, Yin F, Mack WJ, Cadenas E. Perimenopause as a neurological transition state. Nature Reviews Endocrinology 2015;11:393–405.</w:t>
      </w:r>
      <w:r>
        <w:t xml:space="preserve"> </w:t>
      </w:r>
      <w:hyperlink r:id="rId115">
        <w:r>
          <w:rPr>
            <w:rStyle w:val="Hyperlink"/>
          </w:rPr>
          <w:t xml:space="preserve">https://doi.org/10.1038/nrendo.2015.82</w:t>
        </w:r>
      </w:hyperlink>
      <w:r>
        <w:t xml:space="preserve">.</w:t>
      </w:r>
    </w:p>
    <w:bookmarkEnd w:id="116"/>
    <w:bookmarkStart w:id="117" w:name="ref-cacciaglia2025a"/>
    <w:p>
      <w:pPr>
        <w:pStyle w:val="Bibliography"/>
      </w:pPr>
      <w:r>
        <w:t xml:space="preserve">[35]</w:t>
      </w:r>
      <w:r>
        <w:t xml:space="preserve"> </w:t>
      </w:r>
      <w:r>
        <w:t xml:space="preserve">	</w:t>
      </w:r>
      <w:r>
        <w:t xml:space="preserve">Cacciaglia R, Falcón C, Benavides GS, Brugulat-Serrat A, Alomà MM, Calvet MS, et al. Soluble Aβ pathology predicts neurodegeneration and cognitive decline independently on p</w:t>
      </w:r>
      <w:r>
        <w:t xml:space="preserve">-</w:t>
      </w:r>
      <w:r>
        <w:t xml:space="preserve">tau in the earliest Alzheimer’s</w:t>
      </w:r>
      <w:r>
        <w:t xml:space="preserve"> </w:t>
      </w:r>
      <w:r>
        <w:rPr>
          <w:i/>
          <w:iCs/>
        </w:rPr>
        <w:t xml:space="preserve">continuum</w:t>
      </w:r>
      <w:r>
        <w:t xml:space="preserve">: Evidence across two independent cohorts. Alzheimer’s &amp; Dementia 2025;21.</w:t>
      </w:r>
      <w:r>
        <w:t xml:space="preserve"> </w:t>
      </w:r>
      <w:hyperlink r:id="rId69">
        <w:r>
          <w:rPr>
            <w:rStyle w:val="Hyperlink"/>
          </w:rPr>
          <w:t xml:space="preserve">https://doi.org/10.1002/alz.14415</w:t>
        </w:r>
      </w:hyperlink>
      <w:r>
        <w:t xml:space="preserve">.</w:t>
      </w:r>
    </w:p>
    <w:bookmarkEnd w:id="117"/>
    <w:bookmarkStart w:id="119" w:name="ref-Huang2021"/>
    <w:p>
      <w:pPr>
        <w:pStyle w:val="Bibliography"/>
      </w:pPr>
      <w:r>
        <w:t xml:space="preserve">[36]</w:t>
      </w:r>
      <w:r>
        <w:t xml:space="preserve"> </w:t>
      </w:r>
      <w:r>
        <w:t xml:space="preserve">	</w:t>
      </w:r>
      <w:r>
        <w:t xml:space="preserve">Huang X, Wang L, Zhao S, Liu H, Chen S, Wu L, et al. Pregnancy induces an immunological memory characterized by maternal immune alterations through specific genes methylation. Frontiers in Immunology 2021;12.</w:t>
      </w:r>
      <w:r>
        <w:t xml:space="preserve"> </w:t>
      </w:r>
      <w:hyperlink r:id="rId118">
        <w:r>
          <w:rPr>
            <w:rStyle w:val="Hyperlink"/>
          </w:rPr>
          <w:t xml:space="preserve">https://doi.org/10.3389/fimmu.2021.686676</w:t>
        </w:r>
      </w:hyperlink>
      <w:r>
        <w:t xml:space="preserve">.</w:t>
      </w:r>
    </w:p>
    <w:bookmarkEnd w:id="119"/>
    <w:bookmarkStart w:id="121" w:name="ref-buckley2022"/>
    <w:p>
      <w:pPr>
        <w:pStyle w:val="Bibliography"/>
      </w:pPr>
      <w:r>
        <w:t xml:space="preserve">[37]</w:t>
      </w:r>
      <w:r>
        <w:t xml:space="preserve"> </w:t>
      </w:r>
      <w:r>
        <w:t xml:space="preserve">	</w:t>
      </w:r>
      <w:r>
        <w:t xml:space="preserve">Buckley RF. Sex differences in Alzheimer</w:t>
      </w:r>
      <w:r>
        <w:t xml:space="preserve">’</w:t>
      </w:r>
      <w:r>
        <w:t xml:space="preserve">s disease risk: are immune responses the key? Brain 2022;145:3341–2.</w:t>
      </w:r>
      <w:r>
        <w:t xml:space="preserve"> </w:t>
      </w:r>
      <w:hyperlink r:id="rId120">
        <w:r>
          <w:rPr>
            <w:rStyle w:val="Hyperlink"/>
          </w:rPr>
          <w:t xml:space="preserve">https://doi.org/10.1093/brain/awac316</w:t>
        </w:r>
      </w:hyperlink>
      <w:r>
        <w:t xml:space="preserve">.</w:t>
      </w:r>
    </w:p>
    <w:bookmarkEnd w:id="121"/>
    <w:bookmarkStart w:id="123" w:name="ref-farnsworthvoncederwald2022"/>
    <w:p>
      <w:pPr>
        <w:pStyle w:val="Bibliography"/>
      </w:pPr>
      <w:r>
        <w:t xml:space="preserve">[38]</w:t>
      </w:r>
      <w:r>
        <w:t xml:space="preserve"> </w:t>
      </w:r>
      <w:r>
        <w:t xml:space="preserve">	</w:t>
      </w:r>
      <w:r>
        <w:t xml:space="preserve">Farnsworth von Cederwald B, Josefsson M, Wåhlin A, Nyberg L, Karalija N. Association of Cardiovascular Risk Trajectory With Cognitive Decline and Incident Dementia. Neurology 2022;98.</w:t>
      </w:r>
      <w:r>
        <w:t xml:space="preserve"> </w:t>
      </w:r>
      <w:hyperlink r:id="rId122">
        <w:r>
          <w:rPr>
            <w:rStyle w:val="Hyperlink"/>
          </w:rPr>
          <w:t xml:space="preserve">https://doi.org/10.1212/wnl.0000000000200255</w:t>
        </w:r>
      </w:hyperlink>
      <w:r>
        <w:t xml:space="preserve">.</w:t>
      </w:r>
    </w:p>
    <w:bookmarkEnd w:id="123"/>
    <w:bookmarkStart w:id="125" w:name="ref-iacobaeus2017"/>
    <w:p>
      <w:pPr>
        <w:pStyle w:val="Bibliography"/>
      </w:pPr>
      <w:r>
        <w:t xml:space="preserve">[39]</w:t>
      </w:r>
      <w:r>
        <w:t xml:space="preserve"> </w:t>
      </w:r>
      <w:r>
        <w:t xml:space="preserve">	</w:t>
      </w:r>
      <w:r>
        <w:t xml:space="preserve">Iacobaeus C, Andolf E, Thorsell M, Bremme K, Jörneskog G, Östlund E, et al. Longitudinal study of vascular structure and function during normal pregnancy. Ultrasound in Obstetrics &amp; Gynecology 2017;49:46–53.</w:t>
      </w:r>
      <w:r>
        <w:t xml:space="preserve"> </w:t>
      </w:r>
      <w:hyperlink r:id="rId124">
        <w:r>
          <w:rPr>
            <w:rStyle w:val="Hyperlink"/>
          </w:rPr>
          <w:t xml:space="preserve">https://doi.org/10.1002/uog.17326</w:t>
        </w:r>
      </w:hyperlink>
      <w:r>
        <w:t xml:space="preserve">.</w:t>
      </w:r>
    </w:p>
    <w:bookmarkEnd w:id="125"/>
    <w:bookmarkStart w:id="127" w:name="ref-Hoekzema2017"/>
    <w:p>
      <w:pPr>
        <w:pStyle w:val="Bibliography"/>
      </w:pPr>
      <w:r>
        <w:t xml:space="preserve">[40]</w:t>
      </w:r>
      <w:r>
        <w:t xml:space="preserve"> </w:t>
      </w:r>
      <w:r>
        <w:t xml:space="preserve">	</w:t>
      </w:r>
      <w:r>
        <w:t xml:space="preserve">Hoekzema E, Barba-Müller E, Pozzobon C, Picado M, Lucco F, García-García D, et al. Pregnancy leads to long-lasting changes in human brain structure. Nature Neuroscience 2016;20:287–96.</w:t>
      </w:r>
      <w:r>
        <w:t xml:space="preserve"> </w:t>
      </w:r>
      <w:hyperlink r:id="rId126">
        <w:r>
          <w:rPr>
            <w:rStyle w:val="Hyperlink"/>
          </w:rPr>
          <w:t xml:space="preserve">https://doi.org/10.1038/nn.4458</w:t>
        </w:r>
      </w:hyperlink>
      <w:r>
        <w:t xml:space="preserve">.</w:t>
      </w:r>
    </w:p>
    <w:bookmarkEnd w:id="127"/>
    <w:bookmarkStart w:id="129" w:name="ref-pritschet2024"/>
    <w:p>
      <w:pPr>
        <w:pStyle w:val="Bibliography"/>
      </w:pPr>
      <w:r>
        <w:t xml:space="preserve">[41]</w:t>
      </w:r>
      <w:r>
        <w:t xml:space="preserve"> </w:t>
      </w:r>
      <w:r>
        <w:t xml:space="preserve">	</w:t>
      </w:r>
      <w:r>
        <w:t xml:space="preserve">Pritschet L, Taylor CM, Cossio D, Faskowitz J, Santander T, Handwerker DA, et al. Neuroanatomical changes observed over the course of a human pregnancy. Nature Neuroscience 2024;27:2253–60.</w:t>
      </w:r>
      <w:r>
        <w:t xml:space="preserve"> </w:t>
      </w:r>
      <w:hyperlink r:id="rId128">
        <w:r>
          <w:rPr>
            <w:rStyle w:val="Hyperlink"/>
          </w:rPr>
          <w:t xml:space="preserve">https://doi.org/10.1038/s41593-024-01741-0</w:t>
        </w:r>
      </w:hyperlink>
      <w:r>
        <w:t xml:space="preserve">.</w:t>
      </w:r>
    </w:p>
    <w:bookmarkEnd w:id="129"/>
    <w:bookmarkStart w:id="131" w:name="ref-servin-barthet2023a"/>
    <w:p>
      <w:pPr>
        <w:pStyle w:val="Bibliography"/>
      </w:pPr>
      <w:r>
        <w:t xml:space="preserve">[42]</w:t>
      </w:r>
      <w:r>
        <w:t xml:space="preserve"> </w:t>
      </w:r>
      <w:r>
        <w:t xml:space="preserve">	</w:t>
      </w:r>
      <w:r>
        <w:t xml:space="preserve">Servin-Barthet C, Martínez-García M, Pretus C, Paternina-Die M, Soler A, Khymenets O, et al. The transition to motherhood: linking hormones, brain and behaviour. Nature Reviews Neuroscience 2023;24:605–19.</w:t>
      </w:r>
      <w:r>
        <w:t xml:space="preserve"> </w:t>
      </w:r>
      <w:hyperlink r:id="rId130">
        <w:r>
          <w:rPr>
            <w:rStyle w:val="Hyperlink"/>
          </w:rPr>
          <w:t xml:space="preserve">https://doi.org/10.1038/s41583-023-00733-6</w:t>
        </w:r>
      </w:hyperlink>
      <w:r>
        <w:t xml:space="preserve">.</w:t>
      </w:r>
    </w:p>
    <w:bookmarkEnd w:id="131"/>
    <w:bookmarkStart w:id="133" w:name="ref-vilor-tejedor2023"/>
    <w:p>
      <w:pPr>
        <w:pStyle w:val="Bibliography"/>
      </w:pPr>
      <w:r>
        <w:t xml:space="preserve">[43]</w:t>
      </w:r>
      <w:r>
        <w:t xml:space="preserve"> </w:t>
      </w:r>
      <w:r>
        <w:t xml:space="preserve">	</w:t>
      </w:r>
      <w:r>
        <w:t xml:space="preserve">Vilor-Tejedor N, Genius P, Rodríguez-Fernández B, Minguillón C, Sadeghi I, González-Escalante A, et al. Genetic characterization of the ALFA study: Uncovering genetic profiles in the Alzheimer’s</w:t>
      </w:r>
      <w:r>
        <w:t xml:space="preserve"> </w:t>
      </w:r>
      <w:r>
        <w:rPr>
          <w:i/>
          <w:iCs/>
        </w:rPr>
        <w:t xml:space="preserve">continuum</w:t>
      </w:r>
      <w:r>
        <w:t xml:space="preserve">. Alzheimer’s &amp; Dementia 2023;20:1703–15.</w:t>
      </w:r>
      <w:r>
        <w:t xml:space="preserve"> </w:t>
      </w:r>
      <w:hyperlink r:id="rId132">
        <w:r>
          <w:rPr>
            <w:rStyle w:val="Hyperlink"/>
          </w:rPr>
          <w:t xml:space="preserve">https://doi.org/10.1002/alz.13537</w:t>
        </w:r>
      </w:hyperlink>
      <w:r>
        <w:t xml:space="preserve">.</w:t>
      </w:r>
    </w:p>
    <w:bookmarkEnd w:id="133"/>
    <w:bookmarkStart w:id="135" w:name="ref-brugulat-serrat2017"/>
    <w:p>
      <w:pPr>
        <w:pStyle w:val="Bibliography"/>
      </w:pPr>
      <w:r>
        <w:t xml:space="preserve">[44]</w:t>
      </w:r>
      <w:r>
        <w:t xml:space="preserve"> </w:t>
      </w:r>
      <w:r>
        <w:t xml:space="preserve">	</w:t>
      </w:r>
      <w:r>
        <w:t xml:space="preserve">Brugulat-Serrat A, Rojas S, Bargalló N, Conesa G, Minguillón C, Fauria K, et al. Incidental findings on brain MRI of cognitively normal first-degree descendants of patients with Alzheimer’s disease: a cross-sectional analysis from the ALFA (Alzheimer and Families) project. BMJ Open 2017;7:e013215.</w:t>
      </w:r>
      <w:r>
        <w:t xml:space="preserve"> </w:t>
      </w:r>
      <w:hyperlink r:id="rId134">
        <w:r>
          <w:rPr>
            <w:rStyle w:val="Hyperlink"/>
          </w:rPr>
          <w:t xml:space="preserve">https://doi.org/10.1136/bmjopen-2016-013215</w:t>
        </w:r>
      </w:hyperlink>
      <w:r>
        <w:t xml:space="preserve">.</w:t>
      </w:r>
    </w:p>
    <w:bookmarkEnd w:id="135"/>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51" Target="https://doi.org/10.1001/archneur.63.5.693" TargetMode="External" /><Relationship Type="http://schemas.openxmlformats.org/officeDocument/2006/relationships/hyperlink" Id="rId79" Target="https://doi.org/10.1002/alz.077158" TargetMode="External" /><Relationship Type="http://schemas.openxmlformats.org/officeDocument/2006/relationships/hyperlink" Id="rId93" Target="https://doi.org/10.1002/alz.12131" TargetMode="External" /><Relationship Type="http://schemas.openxmlformats.org/officeDocument/2006/relationships/hyperlink" Id="rId132" Target="https://doi.org/10.1002/alz.13537" TargetMode="External" /><Relationship Type="http://schemas.openxmlformats.org/officeDocument/2006/relationships/hyperlink" Id="rId69" Target="https://doi.org/10.1002/alz.14415" TargetMode="External" /><Relationship Type="http://schemas.openxmlformats.org/officeDocument/2006/relationships/hyperlink" Id="rId59" Target="https://doi.org/10.1002/alz.14467" TargetMode="External" /><Relationship Type="http://schemas.openxmlformats.org/officeDocument/2006/relationships/hyperlink" Id="rId97" Target="https://doi.org/10.1002/hbm.10062" TargetMode="External" /><Relationship Type="http://schemas.openxmlformats.org/officeDocument/2006/relationships/hyperlink" Id="rId95" Target="https://doi.org/10.1002/hbm.22627" TargetMode="External" /><Relationship Type="http://schemas.openxmlformats.org/officeDocument/2006/relationships/hyperlink" Id="rId124" Target="https://doi.org/10.1002/uog.17326" TargetMode="External" /><Relationship Type="http://schemas.openxmlformats.org/officeDocument/2006/relationships/hyperlink" Id="rId53" Target="https://doi.org/10.1016/j.jsbmb.2016.03.012" TargetMode="External" /><Relationship Type="http://schemas.openxmlformats.org/officeDocument/2006/relationships/hyperlink" Id="rId83" Target="https://doi.org/10.1016/j.neurobiolaging.2007.11.011" TargetMode="External" /><Relationship Type="http://schemas.openxmlformats.org/officeDocument/2006/relationships/hyperlink" Id="rId65" Target="https://doi.org/10.1016/j.neurobiolaging.2019.01.021" TargetMode="External" /><Relationship Type="http://schemas.openxmlformats.org/officeDocument/2006/relationships/hyperlink" Id="rId49" Target="https://doi.org/10.1016/j.neuron.2013.12.003" TargetMode="External" /><Relationship Type="http://schemas.openxmlformats.org/officeDocument/2006/relationships/hyperlink" Id="rId63" Target="https://doi.org/10.1016/j.neuroscience.2007.07.031" TargetMode="External" /><Relationship Type="http://schemas.openxmlformats.org/officeDocument/2006/relationships/hyperlink" Id="rId77" Target="https://doi.org/10.1016/j.psyneuen.2013.08.005" TargetMode="External" /><Relationship Type="http://schemas.openxmlformats.org/officeDocument/2006/relationships/hyperlink" Id="rId61" Target="https://doi.org/10.1016/j.tins.2023.03.010" TargetMode="External" /><Relationship Type="http://schemas.openxmlformats.org/officeDocument/2006/relationships/hyperlink" Id="rId87" Target="https://doi.org/10.1016/j.trci.2016.02.003" TargetMode="External" /><Relationship Type="http://schemas.openxmlformats.org/officeDocument/2006/relationships/hyperlink" Id="rId126" Target="https://doi.org/10.1038/nn.4458" TargetMode="External" /><Relationship Type="http://schemas.openxmlformats.org/officeDocument/2006/relationships/hyperlink" Id="rId115" Target="https://doi.org/10.1038/nrendo.2015.82" TargetMode="External" /><Relationship Type="http://schemas.openxmlformats.org/officeDocument/2006/relationships/hyperlink" Id="rId130" Target="https://doi.org/10.1038/s41583-023-00733-6" TargetMode="External" /><Relationship Type="http://schemas.openxmlformats.org/officeDocument/2006/relationships/hyperlink" Id="rId128" Target="https://doi.org/10.1038/s41593-024-01741-0" TargetMode="External" /><Relationship Type="http://schemas.openxmlformats.org/officeDocument/2006/relationships/hyperlink" Id="rId81" Target="https://doi.org/10.1038/s44400-025-00035-x" TargetMode="External" /><Relationship Type="http://schemas.openxmlformats.org/officeDocument/2006/relationships/hyperlink" Id="rId89" Target="https://doi.org/10.1093/arclin/acw083" TargetMode="External" /><Relationship Type="http://schemas.openxmlformats.org/officeDocument/2006/relationships/hyperlink" Id="rId120" Target="https://doi.org/10.1093/brain/awac316" TargetMode="External" /><Relationship Type="http://schemas.openxmlformats.org/officeDocument/2006/relationships/hyperlink" Id="rId113" Target="https://doi.org/10.1098/rsob.230217" TargetMode="External" /><Relationship Type="http://schemas.openxmlformats.org/officeDocument/2006/relationships/hyperlink" Id="rId71" Target="https://doi.org/10.1111/j.1468-1331.2006.01520.x" TargetMode="External" /><Relationship Type="http://schemas.openxmlformats.org/officeDocument/2006/relationships/hyperlink" Id="rId134" Target="https://doi.org/10.1136/bmjopen-2016-013215" TargetMode="External" /><Relationship Type="http://schemas.openxmlformats.org/officeDocument/2006/relationships/hyperlink" Id="rId75" Target="https://doi.org/10.1136/jech-2024-222717" TargetMode="External" /><Relationship Type="http://schemas.openxmlformats.org/officeDocument/2006/relationships/hyperlink" Id="rId73" Target="https://doi.org/10.1186/s12916-020-01671-1" TargetMode="External" /><Relationship Type="http://schemas.openxmlformats.org/officeDocument/2006/relationships/hyperlink" Id="rId122" Target="https://doi.org/10.1212/wnl.0000000000200255" TargetMode="External" /><Relationship Type="http://schemas.openxmlformats.org/officeDocument/2006/relationships/hyperlink" Id="rId91" Target="https://doi.org/10.1212/wnl.0000000000214308" TargetMode="External" /><Relationship Type="http://schemas.openxmlformats.org/officeDocument/2006/relationships/hyperlink" Id="rId101" Target="https://doi.org/10.18637/jss.v045.i03" TargetMode="External" /><Relationship Type="http://schemas.openxmlformats.org/officeDocument/2006/relationships/hyperlink" Id="rId111" Target="https://doi.org/10.18637/jss.v059.i05" TargetMode="External" /><Relationship Type="http://schemas.openxmlformats.org/officeDocument/2006/relationships/hyperlink" Id="rId109" Target="https://doi.org/10.18637/jss.v067.i01" TargetMode="External" /><Relationship Type="http://schemas.openxmlformats.org/officeDocument/2006/relationships/hyperlink" Id="rId107" Target="https://doi.org/10.21105/joss.00772" TargetMode="External" /><Relationship Type="http://schemas.openxmlformats.org/officeDocument/2006/relationships/hyperlink" Id="rId103" Target="https://doi.org/10.21105/joss.01686" TargetMode="External" /><Relationship Type="http://schemas.openxmlformats.org/officeDocument/2006/relationships/hyperlink" Id="rId55" Target="https://doi.org/10.3174/ajnr.a3601" TargetMode="External" /><Relationship Type="http://schemas.openxmlformats.org/officeDocument/2006/relationships/hyperlink" Id="rId57" Target="https://doi.org/10.3233/jad-150780" TargetMode="External" /><Relationship Type="http://schemas.openxmlformats.org/officeDocument/2006/relationships/hyperlink" Id="rId99" Target="https://doi.org/10.32614/cran.package.emmeans" TargetMode="External" /><Relationship Type="http://schemas.openxmlformats.org/officeDocument/2006/relationships/hyperlink" Id="rId105" Target="https://doi.org/10.32614/rj-2021-053" TargetMode="External" /><Relationship Type="http://schemas.openxmlformats.org/officeDocument/2006/relationships/hyperlink" Id="rId118" Target="https://doi.org/10.3389/fimmu.2021.686676" TargetMode="External" /><Relationship Type="http://schemas.openxmlformats.org/officeDocument/2006/relationships/hyperlink" Id="rId85" Target="https://doi.org/10.3389/fnagi.2020.00159" TargetMode="External" /><Relationship Type="http://schemas.openxmlformats.org/officeDocument/2006/relationships/hyperlink" Id="rId67" Target="https://doi.org/10.3390/brainsci11020168"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01/archneur.63.5.693" TargetMode="External" /><Relationship Type="http://schemas.openxmlformats.org/officeDocument/2006/relationships/hyperlink" Id="rId79" Target="https://doi.org/10.1002/alz.077158" TargetMode="External" /><Relationship Type="http://schemas.openxmlformats.org/officeDocument/2006/relationships/hyperlink" Id="rId93" Target="https://doi.org/10.1002/alz.12131" TargetMode="External" /><Relationship Type="http://schemas.openxmlformats.org/officeDocument/2006/relationships/hyperlink" Id="rId132" Target="https://doi.org/10.1002/alz.13537" TargetMode="External" /><Relationship Type="http://schemas.openxmlformats.org/officeDocument/2006/relationships/hyperlink" Id="rId69" Target="https://doi.org/10.1002/alz.14415" TargetMode="External" /><Relationship Type="http://schemas.openxmlformats.org/officeDocument/2006/relationships/hyperlink" Id="rId59" Target="https://doi.org/10.1002/alz.14467" TargetMode="External" /><Relationship Type="http://schemas.openxmlformats.org/officeDocument/2006/relationships/hyperlink" Id="rId97" Target="https://doi.org/10.1002/hbm.10062" TargetMode="External" /><Relationship Type="http://schemas.openxmlformats.org/officeDocument/2006/relationships/hyperlink" Id="rId95" Target="https://doi.org/10.1002/hbm.22627" TargetMode="External" /><Relationship Type="http://schemas.openxmlformats.org/officeDocument/2006/relationships/hyperlink" Id="rId124" Target="https://doi.org/10.1002/uog.17326" TargetMode="External" /><Relationship Type="http://schemas.openxmlformats.org/officeDocument/2006/relationships/hyperlink" Id="rId53" Target="https://doi.org/10.1016/j.jsbmb.2016.03.012" TargetMode="External" /><Relationship Type="http://schemas.openxmlformats.org/officeDocument/2006/relationships/hyperlink" Id="rId83" Target="https://doi.org/10.1016/j.neurobiolaging.2007.11.011" TargetMode="External" /><Relationship Type="http://schemas.openxmlformats.org/officeDocument/2006/relationships/hyperlink" Id="rId65" Target="https://doi.org/10.1016/j.neurobiolaging.2019.01.021" TargetMode="External" /><Relationship Type="http://schemas.openxmlformats.org/officeDocument/2006/relationships/hyperlink" Id="rId49" Target="https://doi.org/10.1016/j.neuron.2013.12.003" TargetMode="External" /><Relationship Type="http://schemas.openxmlformats.org/officeDocument/2006/relationships/hyperlink" Id="rId63" Target="https://doi.org/10.1016/j.neuroscience.2007.07.031" TargetMode="External" /><Relationship Type="http://schemas.openxmlformats.org/officeDocument/2006/relationships/hyperlink" Id="rId77" Target="https://doi.org/10.1016/j.psyneuen.2013.08.005" TargetMode="External" /><Relationship Type="http://schemas.openxmlformats.org/officeDocument/2006/relationships/hyperlink" Id="rId61" Target="https://doi.org/10.1016/j.tins.2023.03.010" TargetMode="External" /><Relationship Type="http://schemas.openxmlformats.org/officeDocument/2006/relationships/hyperlink" Id="rId87" Target="https://doi.org/10.1016/j.trci.2016.02.003" TargetMode="External" /><Relationship Type="http://schemas.openxmlformats.org/officeDocument/2006/relationships/hyperlink" Id="rId126" Target="https://doi.org/10.1038/nn.4458" TargetMode="External" /><Relationship Type="http://schemas.openxmlformats.org/officeDocument/2006/relationships/hyperlink" Id="rId115" Target="https://doi.org/10.1038/nrendo.2015.82" TargetMode="External" /><Relationship Type="http://schemas.openxmlformats.org/officeDocument/2006/relationships/hyperlink" Id="rId130" Target="https://doi.org/10.1038/s41583-023-00733-6" TargetMode="External" /><Relationship Type="http://schemas.openxmlformats.org/officeDocument/2006/relationships/hyperlink" Id="rId128" Target="https://doi.org/10.1038/s41593-024-01741-0" TargetMode="External" /><Relationship Type="http://schemas.openxmlformats.org/officeDocument/2006/relationships/hyperlink" Id="rId81" Target="https://doi.org/10.1038/s44400-025-00035-x" TargetMode="External" /><Relationship Type="http://schemas.openxmlformats.org/officeDocument/2006/relationships/hyperlink" Id="rId89" Target="https://doi.org/10.1093/arclin/acw083" TargetMode="External" /><Relationship Type="http://schemas.openxmlformats.org/officeDocument/2006/relationships/hyperlink" Id="rId120" Target="https://doi.org/10.1093/brain/awac316" TargetMode="External" /><Relationship Type="http://schemas.openxmlformats.org/officeDocument/2006/relationships/hyperlink" Id="rId113" Target="https://doi.org/10.1098/rsob.230217" TargetMode="External" /><Relationship Type="http://schemas.openxmlformats.org/officeDocument/2006/relationships/hyperlink" Id="rId71" Target="https://doi.org/10.1111/j.1468-1331.2006.01520.x" TargetMode="External" /><Relationship Type="http://schemas.openxmlformats.org/officeDocument/2006/relationships/hyperlink" Id="rId134" Target="https://doi.org/10.1136/bmjopen-2016-013215" TargetMode="External" /><Relationship Type="http://schemas.openxmlformats.org/officeDocument/2006/relationships/hyperlink" Id="rId75" Target="https://doi.org/10.1136/jech-2024-222717" TargetMode="External" /><Relationship Type="http://schemas.openxmlformats.org/officeDocument/2006/relationships/hyperlink" Id="rId73" Target="https://doi.org/10.1186/s12916-020-01671-1" TargetMode="External" /><Relationship Type="http://schemas.openxmlformats.org/officeDocument/2006/relationships/hyperlink" Id="rId122" Target="https://doi.org/10.1212/wnl.0000000000200255" TargetMode="External" /><Relationship Type="http://schemas.openxmlformats.org/officeDocument/2006/relationships/hyperlink" Id="rId91" Target="https://doi.org/10.1212/wnl.0000000000214308" TargetMode="External" /><Relationship Type="http://schemas.openxmlformats.org/officeDocument/2006/relationships/hyperlink" Id="rId101" Target="https://doi.org/10.18637/jss.v045.i03" TargetMode="External" /><Relationship Type="http://schemas.openxmlformats.org/officeDocument/2006/relationships/hyperlink" Id="rId111" Target="https://doi.org/10.18637/jss.v059.i05" TargetMode="External" /><Relationship Type="http://schemas.openxmlformats.org/officeDocument/2006/relationships/hyperlink" Id="rId109" Target="https://doi.org/10.18637/jss.v067.i01" TargetMode="External" /><Relationship Type="http://schemas.openxmlformats.org/officeDocument/2006/relationships/hyperlink" Id="rId107" Target="https://doi.org/10.21105/joss.00772" TargetMode="External" /><Relationship Type="http://schemas.openxmlformats.org/officeDocument/2006/relationships/hyperlink" Id="rId103" Target="https://doi.org/10.21105/joss.01686" TargetMode="External" /><Relationship Type="http://schemas.openxmlformats.org/officeDocument/2006/relationships/hyperlink" Id="rId55" Target="https://doi.org/10.3174/ajnr.a3601" TargetMode="External" /><Relationship Type="http://schemas.openxmlformats.org/officeDocument/2006/relationships/hyperlink" Id="rId57" Target="https://doi.org/10.3233/jad-150780" TargetMode="External" /><Relationship Type="http://schemas.openxmlformats.org/officeDocument/2006/relationships/hyperlink" Id="rId99" Target="https://doi.org/10.32614/cran.package.emmeans" TargetMode="External" /><Relationship Type="http://schemas.openxmlformats.org/officeDocument/2006/relationships/hyperlink" Id="rId105" Target="https://doi.org/10.32614/rj-2021-053" TargetMode="External" /><Relationship Type="http://schemas.openxmlformats.org/officeDocument/2006/relationships/hyperlink" Id="rId118" Target="https://doi.org/10.3389/fimmu.2021.686676" TargetMode="External" /><Relationship Type="http://schemas.openxmlformats.org/officeDocument/2006/relationships/hyperlink" Id="rId85" Target="https://doi.org/10.3389/fnagi.2020.00159" TargetMode="External" /><Relationship Type="http://schemas.openxmlformats.org/officeDocument/2006/relationships/hyperlink" Id="rId67" Target="https://doi.org/10.3390/brainsci1102016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Parity and AD specific neurodegeneration</dc:title>
  <dc:creator>Clazz</dc:creator>
  <cp:keywords/>
  <dcterms:created xsi:type="dcterms:W3CDTF">2025-12-02T11:36:05Z</dcterms:created>
  <dcterms:modified xsi:type="dcterms:W3CDTF">2025-12-02T11:36:05Z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elsevier-vancouver.csl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