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8.png" ContentType="image/png"/>
  <Override PartName="/word/media/rId52.png" ContentType="image/png"/>
  <Override PartName="/word/media/rId62.png" ContentType="image/png"/>
  <Override PartName="/word/media/rId66.png" ContentType="image/png"/>
  <Override PartName="/word/media/rId97.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 Asset Classes and Financial Instruments</w:t>
      </w:r>
    </w:p>
    <w:p>
      <w:pPr>
        <w:pStyle w:val="Author"/>
      </w:pPr>
      <w:r>
        <w:t xml:space="preserve">Prof. Barker</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learning-objectives"/>
    <w:p>
      <w:pPr>
        <w:pStyle w:val="Heading1"/>
      </w:pPr>
      <w:r>
        <w:t xml:space="preserve">Learning Objectives</w:t>
      </w:r>
    </w:p>
    <w:p>
      <w:pPr>
        <w:pStyle w:val="FirstParagraph"/>
      </w:pPr>
      <w:r>
        <w:t xml:space="preserve">By the end of this chapter, you should be able to:</w:t>
      </w:r>
    </w:p>
    <w:p>
      <w:pPr>
        <w:pStyle w:val="Compact"/>
        <w:numPr>
          <w:ilvl w:val="0"/>
          <w:numId w:val="1001"/>
        </w:numPr>
      </w:pPr>
      <w:r>
        <w:rPr>
          <w:b/>
          <w:bCs/>
        </w:rPr>
        <w:t xml:space="preserve">LO 2-1</w:t>
      </w:r>
      <w:r>
        <w:t xml:space="preserve"> </w:t>
      </w:r>
      <w:r>
        <w:t xml:space="preserve">Describe the differences among the major assets that trade in money markets and in capital markets.</w:t>
      </w:r>
    </w:p>
    <w:p>
      <w:pPr>
        <w:pStyle w:val="Compact"/>
        <w:numPr>
          <w:ilvl w:val="0"/>
          <w:numId w:val="1001"/>
        </w:numPr>
      </w:pPr>
      <w:r>
        <w:rPr>
          <w:b/>
          <w:bCs/>
        </w:rPr>
        <w:t xml:space="preserve">LO 2-2</w:t>
      </w:r>
      <w:r>
        <w:t xml:space="preserve"> </w:t>
      </w:r>
      <w:r>
        <w:t xml:space="preserve">Describe the construction of stock market indexes.</w:t>
      </w:r>
    </w:p>
    <w:p>
      <w:pPr>
        <w:pStyle w:val="Compact"/>
        <w:numPr>
          <w:ilvl w:val="0"/>
          <w:numId w:val="1001"/>
        </w:numPr>
      </w:pPr>
      <w:r>
        <w:rPr>
          <w:b/>
          <w:bCs/>
        </w:rPr>
        <w:t xml:space="preserve">LO 2-3</w:t>
      </w:r>
      <w:r>
        <w:t xml:space="preserve"> </w:t>
      </w:r>
      <w:r>
        <w:t xml:space="preserve">Calculate the profit or loss on investments in options and futures contracts.</w:t>
      </w:r>
    </w:p>
    <w:bookmarkStart w:id="20" w:name="chapter-roadmap"/>
    <w:p>
      <w:pPr>
        <w:pStyle w:val="Heading2"/>
      </w:pPr>
      <w:r>
        <w:t xml:space="preserve">Chapter Roadmap</w:t>
      </w:r>
    </w:p>
    <w:p>
      <w:pPr>
        <w:pStyle w:val="FirstParagraph"/>
      </w:pPr>
      <w:r>
        <w:t xml:space="preserve">In Chapter 1 we saw that building a portfolio begins with</w:t>
      </w:r>
      <w:r>
        <w:t xml:space="preserve"> </w:t>
      </w:r>
      <w:r>
        <w:rPr>
          <w:b/>
          <w:bCs/>
        </w:rPr>
        <w:t xml:space="preserve">asset allocation</w:t>
      </w:r>
      <w:r>
        <w:t xml:space="preserve"> </w:t>
      </w:r>
      <w:r>
        <w:t xml:space="preserve">- deciding how much to place in broad asset classes - followed by</w:t>
      </w:r>
      <w:r>
        <w:t xml:space="preserve"> </w:t>
      </w:r>
      <w:r>
        <w:rPr>
          <w:b/>
          <w:bCs/>
        </w:rPr>
        <w:t xml:space="preserve">security selection</w:t>
      </w:r>
      <w:r>
        <w:t xml:space="preserve"> </w:t>
      </w:r>
      <w:r>
        <w:t xml:space="preserve">within each class. This chapter tours those asset classes and the specific instruments that populate them.</w:t>
      </w:r>
    </w:p>
    <w:p>
      <w:pPr>
        <w:pStyle w:val="BodyText"/>
      </w:pPr>
      <w:r>
        <w:t xml:space="preserve">Financial markets are traditionally split into two segments:</w:t>
      </w:r>
    </w:p>
    <w:p>
      <w:pPr>
        <w:pStyle w:val="Compact"/>
        <w:numPr>
          <w:ilvl w:val="0"/>
          <w:numId w:val="1002"/>
        </w:numPr>
      </w:pPr>
      <w:r>
        <w:t xml:space="preserve">The</w:t>
      </w:r>
      <w:r>
        <w:t xml:space="preserve"> </w:t>
      </w:r>
      <w:r>
        <w:rPr>
          <w:b/>
          <w:bCs/>
        </w:rPr>
        <w:t xml:space="preserve">money market</w:t>
      </w:r>
      <w:r>
        <w:t xml:space="preserve">: short-term, marketable, liquid, low-risk debt securities (often called</w:t>
      </w:r>
      <w:r>
        <w:t xml:space="preserve"> </w:t>
      </w:r>
      <w:r>
        <w:rPr>
          <w:i/>
          <w:iCs/>
        </w:rPr>
        <w:t xml:space="preserve">cash equivalents</w:t>
      </w:r>
      <w:r>
        <w:t xml:space="preserve">).</w:t>
      </w:r>
    </w:p>
    <w:p>
      <w:pPr>
        <w:pStyle w:val="Compact"/>
        <w:numPr>
          <w:ilvl w:val="0"/>
          <w:numId w:val="1002"/>
        </w:numPr>
      </w:pPr>
      <w:r>
        <w:t xml:space="preserve">The</w:t>
      </w:r>
      <w:r>
        <w:t xml:space="preserve"> </w:t>
      </w:r>
      <w:r>
        <w:rPr>
          <w:b/>
          <w:bCs/>
        </w:rPr>
        <w:t xml:space="preserve">capital market</w:t>
      </w:r>
      <w:r>
        <w:t xml:space="preserve">: longer-term and riskier securities, which we further subdivide into (1) longer-term</w:t>
      </w:r>
      <w:r>
        <w:t xml:space="preserve"> </w:t>
      </w:r>
      <w:r>
        <w:rPr>
          <w:b/>
          <w:bCs/>
        </w:rPr>
        <w:t xml:space="preserve">debt</w:t>
      </w:r>
      <w:r>
        <w:t xml:space="preserve"> </w:t>
      </w:r>
      <w:r>
        <w:t xml:space="preserve">(bonds), (2)</w:t>
      </w:r>
      <w:r>
        <w:t xml:space="preserve"> </w:t>
      </w:r>
      <w:r>
        <w:rPr>
          <w:b/>
          <w:bCs/>
        </w:rPr>
        <w:t xml:space="preserve">equity</w:t>
      </w:r>
      <w:r>
        <w:t xml:space="preserve">, and (3)</w:t>
      </w:r>
      <w:r>
        <w:t xml:space="preserve"> </w:t>
      </w:r>
      <w:r>
        <w:rPr>
          <w:b/>
          <w:bCs/>
        </w:rPr>
        <w:t xml:space="preserve">derivative</w:t>
      </w:r>
      <w:r>
        <w:t xml:space="preserve"> </w:t>
      </w:r>
      <w:r>
        <w:t xml:space="preserve">markets where options and futures trade.</w:t>
      </w:r>
    </w:p>
    <w:p>
      <w:pPr>
        <w:pStyle w:val="FirstParagraph"/>
      </w:pPr>
      <w:r>
        <w:t xml:space="preserve">The table below previews the markets, instruments, and indexes covered in the chapter.</w:t>
      </w:r>
    </w:p>
    <w:p>
      <w:pPr>
        <w:pStyle w:val="BodyText"/>
      </w:pPr>
      <w:r>
        <w:rPr>
          <w:b/>
          <w:bCs/>
        </w:rPr>
        <w:t xml:space="preserve">Table 2.1 - Financial markets and 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The money market</w:t>
            </w:r>
          </w:p>
        </w:tc>
        <w:tc>
          <w:tcPr/>
          <w:p>
            <w:pPr>
              <w:pStyle w:val="Compact"/>
            </w:pPr>
            <w:r>
              <w:t xml:space="preserve">The bond market</w:t>
            </w:r>
          </w:p>
        </w:tc>
        <w:tc>
          <w:tcPr/>
          <w:p>
            <w:pPr>
              <w:pStyle w:val="Compact"/>
            </w:pPr>
            <w:r>
              <w:t xml:space="preserve">Equity markets</w:t>
            </w:r>
          </w:p>
        </w:tc>
        <w:tc>
          <w:tcPr/>
          <w:p>
            <w:pPr>
              <w:pStyle w:val="Compact"/>
            </w:pPr>
            <w:r>
              <w:t xml:space="preserve">Derivative markets</w:t>
            </w:r>
          </w:p>
        </w:tc>
      </w:tr>
      <w:tr>
        <w:tc>
          <w:tcPr/>
          <w:p>
            <w:pPr>
              <w:pStyle w:val="Compact"/>
            </w:pPr>
            <w:r>
              <w:t xml:space="preserve">Treasury bills</w:t>
            </w:r>
          </w:p>
        </w:tc>
        <w:tc>
          <w:tcPr/>
          <w:p>
            <w:pPr>
              <w:pStyle w:val="Compact"/>
            </w:pPr>
            <w:r>
              <w:t xml:space="preserve">Treasury bonds and notes</w:t>
            </w:r>
          </w:p>
        </w:tc>
        <w:tc>
          <w:tcPr/>
          <w:p>
            <w:pPr>
              <w:pStyle w:val="Compact"/>
            </w:pPr>
            <w:r>
              <w:t xml:space="preserve">Common stocks</w:t>
            </w:r>
          </w:p>
        </w:tc>
        <w:tc>
          <w:tcPr/>
          <w:p>
            <w:pPr>
              <w:pStyle w:val="Compact"/>
            </w:pPr>
            <w:r>
              <w:t xml:space="preserve">Options</w:t>
            </w:r>
          </w:p>
        </w:tc>
      </w:tr>
      <w:tr>
        <w:tc>
          <w:tcPr/>
          <w:p>
            <w:pPr>
              <w:pStyle w:val="Compact"/>
            </w:pPr>
            <w:r>
              <w:t xml:space="preserve">Certificates of deposit</w:t>
            </w:r>
          </w:p>
        </w:tc>
        <w:tc>
          <w:tcPr/>
          <w:p>
            <w:pPr>
              <w:pStyle w:val="Compact"/>
            </w:pPr>
            <w:r>
              <w:t xml:space="preserve">Federal agency debt</w:t>
            </w:r>
          </w:p>
        </w:tc>
        <w:tc>
          <w:tcPr/>
          <w:p>
            <w:pPr>
              <w:pStyle w:val="Compact"/>
            </w:pPr>
            <w:r>
              <w:t xml:space="preserve">Preferred stocks</w:t>
            </w:r>
          </w:p>
        </w:tc>
        <w:tc>
          <w:tcPr/>
          <w:p>
            <w:pPr>
              <w:pStyle w:val="Compact"/>
            </w:pPr>
            <w:r>
              <w:t xml:space="preserve">Futures and forwards</w:t>
            </w:r>
          </w:p>
        </w:tc>
      </w:tr>
      <w:tr>
        <w:tc>
          <w:tcPr/>
          <w:p>
            <w:pPr>
              <w:pStyle w:val="Compact"/>
            </w:pPr>
            <w:r>
              <w:t xml:space="preserve">Commercial paper</w:t>
            </w:r>
          </w:p>
        </w:tc>
        <w:tc>
          <w:tcPr/>
          <w:p>
            <w:pPr>
              <w:pStyle w:val="Compact"/>
            </w:pPr>
            <w:r>
              <w:t xml:space="preserve">Municipal bonds</w:t>
            </w:r>
          </w:p>
        </w:tc>
        <w:tc>
          <w:tcPr/>
          <w:p>
            <w:pPr>
              <w:pStyle w:val="Compact"/>
            </w:pPr>
          </w:p>
        </w:tc>
        <w:tc>
          <w:tcPr/>
          <w:p>
            <w:pPr>
              <w:pStyle w:val="Compact"/>
            </w:pPr>
            <w:r>
              <w:t xml:space="preserve">Swaps</w:t>
            </w:r>
          </w:p>
        </w:tc>
      </w:tr>
      <w:tr>
        <w:tc>
          <w:tcPr/>
          <w:p>
            <w:pPr>
              <w:pStyle w:val="Compact"/>
            </w:pPr>
            <w:r>
              <w:t xml:space="preserve">Bankers’ acceptances</w:t>
            </w:r>
          </w:p>
        </w:tc>
        <w:tc>
          <w:tcPr/>
          <w:p>
            <w:pPr>
              <w:pStyle w:val="Compact"/>
            </w:pPr>
            <w:r>
              <w:t xml:space="preserve">Corporate bonds</w:t>
            </w:r>
          </w:p>
        </w:tc>
        <w:tc>
          <w:tcPr/>
          <w:p>
            <w:pPr>
              <w:pStyle w:val="Compact"/>
            </w:pPr>
          </w:p>
        </w:tc>
        <w:tc>
          <w:tcPr/>
          <w:p>
            <w:pPr>
              <w:pStyle w:val="Compact"/>
            </w:pPr>
          </w:p>
        </w:tc>
      </w:tr>
      <w:tr>
        <w:tc>
          <w:tcPr/>
          <w:p>
            <w:pPr>
              <w:pStyle w:val="Compact"/>
            </w:pPr>
            <w:r>
              <w:t xml:space="preserve">Eurodollars</w:t>
            </w:r>
          </w:p>
        </w:tc>
        <w:tc>
          <w:tcPr/>
          <w:p>
            <w:pPr>
              <w:pStyle w:val="Compact"/>
            </w:pPr>
            <w:r>
              <w:t xml:space="preserve">Mortgage-backed securities</w:t>
            </w:r>
          </w:p>
        </w:tc>
        <w:tc>
          <w:tcPr/>
          <w:p>
            <w:pPr>
              <w:pStyle w:val="Compact"/>
            </w:pPr>
          </w:p>
        </w:tc>
        <w:tc>
          <w:tcPr/>
          <w:p>
            <w:pPr>
              <w:pStyle w:val="Compact"/>
            </w:pPr>
          </w:p>
        </w:tc>
      </w:tr>
      <w:tr>
        <w:tc>
          <w:tcPr/>
          <w:p>
            <w:pPr>
              <w:pStyle w:val="Compact"/>
            </w:pPr>
            <w:r>
              <w:t xml:space="preserve">Repos and reverses</w:t>
            </w:r>
          </w:p>
        </w:tc>
        <w:tc>
          <w:tcPr/>
          <w:p>
            <w:pPr>
              <w:pStyle w:val="Compact"/>
            </w:pPr>
            <w:r>
              <w:rPr>
                <w:b/>
                <w:bCs/>
              </w:rPr>
              <w:t xml:space="preserve">Indexes:</w:t>
            </w:r>
            <w:r>
              <w:t xml:space="preserve"> </w:t>
            </w:r>
            <w:r>
              <w:t xml:space="preserve">Dow Jones averages, S&amp;P indexes, bond-market indicators, international indexes</w:t>
            </w:r>
          </w:p>
        </w:tc>
        <w:tc>
          <w:tcPr/>
          <w:p>
            <w:pPr>
              <w:pStyle w:val="Compact"/>
            </w:pPr>
          </w:p>
        </w:tc>
        <w:tc>
          <w:tcPr/>
          <w:p>
            <w:pPr>
              <w:pStyle w:val="Compact"/>
            </w:pPr>
          </w:p>
        </w:tc>
      </w:tr>
      <w:tr>
        <w:tc>
          <w:tcPr/>
          <w:p>
            <w:pPr>
              <w:pStyle w:val="Compact"/>
            </w:pPr>
            <w:r>
              <w:t xml:space="preserve">Federal funds</w:t>
            </w:r>
          </w:p>
        </w:tc>
        <w:tc>
          <w:tcPr/>
          <w:p>
            <w:pPr>
              <w:pStyle w:val="Compact"/>
            </w:pPr>
          </w:p>
        </w:tc>
        <w:tc>
          <w:tcPr/>
          <w:p>
            <w:pPr>
              <w:pStyle w:val="Compact"/>
            </w:pPr>
          </w:p>
        </w:tc>
        <w:tc>
          <w:tcPr/>
          <w:p>
            <w:pPr>
              <w:pStyle w:val="Compact"/>
            </w:pPr>
          </w:p>
        </w:tc>
      </w:tr>
      <w:tr>
        <w:tc>
          <w:tcPr/>
          <w:p>
            <w:pPr>
              <w:pStyle w:val="Compact"/>
            </w:pPr>
            <w:r>
              <w:t xml:space="preserve">Brokers’ calls</w:t>
            </w:r>
          </w:p>
        </w:tc>
        <w:tc>
          <w:tcPr/>
          <w:p>
            <w:pPr>
              <w:pStyle w:val="Compact"/>
            </w:pPr>
          </w:p>
        </w:tc>
        <w:tc>
          <w:tcPr/>
          <w:p>
            <w:pPr>
              <w:pStyle w:val="Compact"/>
            </w:pPr>
          </w:p>
        </w:tc>
        <w:tc>
          <w:tcPr/>
          <w:p>
            <w:pPr>
              <w:pStyle w:val="Compact"/>
            </w:pPr>
          </w:p>
        </w:tc>
      </w:tr>
    </w:tbl>
    <w:p>
      <w:r>
        <w:pict>
          <v:rect style="width:0;height:1.5pt" o:hralign="center" o:hrstd="t" o:hr="t"/>
        </w:pict>
      </w:r>
    </w:p>
    <w:bookmarkEnd w:id="20"/>
    <w:bookmarkEnd w:id="21"/>
    <w:bookmarkStart w:id="40" w:name="the-money-market"/>
    <w:p>
      <w:pPr>
        <w:pStyle w:val="Heading1"/>
      </w:pPr>
      <w:r>
        <w:t xml:space="preserve">2.1 The Money Market</w:t>
      </w:r>
    </w:p>
    <w:p>
      <w:pPr>
        <w:pStyle w:val="FirstParagraph"/>
      </w:pPr>
      <w:r>
        <w:t xml:space="preserve">The</w:t>
      </w:r>
      <w:r>
        <w:t xml:space="preserve"> </w:t>
      </w:r>
      <w:r>
        <w:rPr>
          <w:b/>
          <w:bCs/>
        </w:rPr>
        <w:t xml:space="preserve">money market</w:t>
      </w:r>
      <w:r>
        <w:t xml:space="preserve"> </w:t>
      </w:r>
      <w:r>
        <w:t xml:space="preserve">consists of very short-term, highly marketable debt securities. Many of these securities trade in large denominations, placing them out of reach of individual investors directly;</w:t>
      </w:r>
      <w:r>
        <w:t xml:space="preserve"> </w:t>
      </w:r>
      <w:r>
        <w:rPr>
          <w:b/>
          <w:bCs/>
        </w:rPr>
        <w:t xml:space="preserve">money market mutual funds</w:t>
      </w:r>
      <w:r>
        <w:t xml:space="preserve"> </w:t>
      </w:r>
      <w:r>
        <w:t xml:space="preserve">solve this by pooling small investors’ resources to buy a diversified set of money market instruments on their behalf.</w:t>
      </w:r>
    </w:p>
    <w:bookmarkStart w:id="22" w:name="treasury-bills"/>
    <w:p>
      <w:pPr>
        <w:pStyle w:val="Heading2"/>
      </w:pPr>
      <w:r>
        <w:t xml:space="preserve">2.1.1 Treasury Bills</w:t>
      </w:r>
    </w:p>
    <w:p>
      <w:pPr>
        <w:pStyle w:val="FirstParagraph"/>
      </w:pPr>
      <w:r>
        <w:rPr>
          <w:b/>
          <w:bCs/>
        </w:rPr>
        <w:t xml:space="preserve">U.S. Treasury bills (T-bills)</w:t>
      </w:r>
      <w:r>
        <w:t xml:space="preserve"> </w:t>
      </w:r>
      <w:r>
        <w:t xml:space="preserve">are the most marketable of all money market instruments. The government borrows by selling bills at a</w:t>
      </w:r>
      <w:r>
        <w:t xml:space="preserve"> </w:t>
      </w:r>
      <w:r>
        <w:rPr>
          <w:b/>
          <w:bCs/>
        </w:rPr>
        <w:t xml:space="preserve">discount</w:t>
      </w:r>
      <w:r>
        <w:t xml:space="preserve"> </w:t>
      </w:r>
      <w:r>
        <w:t xml:space="preserve">from their stated face (par) value; at maturity the investor receives the full face value, and the difference is the interest earned.</w:t>
      </w:r>
    </w:p>
    <w:p>
      <w:pPr>
        <w:pStyle w:val="BodyText"/>
      </w:pPr>
      <w:r>
        <w:t xml:space="preserve">Key features:</w:t>
      </w:r>
    </w:p>
    <w:p>
      <w:pPr>
        <w:pStyle w:val="Compact"/>
        <w:numPr>
          <w:ilvl w:val="0"/>
          <w:numId w:val="1003"/>
        </w:numPr>
      </w:pPr>
      <w:r>
        <w:rPr>
          <w:b/>
          <w:bCs/>
        </w:rPr>
        <w:t xml:space="preserve">Maturities:</w:t>
      </w:r>
      <w:r>
        <w:t xml:space="preserve"> </w:t>
      </w:r>
      <w:r>
        <w:t xml:space="preserve">issued with initial maturities of 4, 13, 26, or 52 weeks.</w:t>
      </w:r>
    </w:p>
    <w:p>
      <w:pPr>
        <w:pStyle w:val="Compact"/>
        <w:numPr>
          <w:ilvl w:val="0"/>
          <w:numId w:val="1003"/>
        </w:numPr>
      </w:pPr>
      <w:r>
        <w:rPr>
          <w:b/>
          <w:bCs/>
        </w:rPr>
        <w:t xml:space="preserve">Denominations:</w:t>
      </w:r>
      <w:r>
        <w:t xml:space="preserve"> </w:t>
      </w:r>
      <w:r>
        <w:t xml:space="preserve">minimum of only $100 (versus $100,000 for most other money market instruments), though $10,000 denominations are far more common.</w:t>
      </w:r>
    </w:p>
    <w:p>
      <w:pPr>
        <w:pStyle w:val="Compact"/>
        <w:numPr>
          <w:ilvl w:val="0"/>
          <w:numId w:val="1003"/>
        </w:numPr>
      </w:pPr>
      <w:r>
        <w:rPr>
          <w:b/>
          <w:bCs/>
        </w:rPr>
        <w:t xml:space="preserve">Liquidity:</w:t>
      </w:r>
      <w:r>
        <w:t xml:space="preserve"> </w:t>
      </w:r>
      <w:r>
        <w:t xml:space="preserve">very high - easily and cheaply converted to cash with minimal price risk.</w:t>
      </w:r>
    </w:p>
    <w:p>
      <w:pPr>
        <w:pStyle w:val="Compact"/>
        <w:numPr>
          <w:ilvl w:val="0"/>
          <w:numId w:val="1003"/>
        </w:numPr>
      </w:pPr>
      <w:r>
        <w:rPr>
          <w:b/>
          <w:bCs/>
        </w:rPr>
        <w:t xml:space="preserve">Taxation:</w:t>
      </w:r>
      <w:r>
        <w:t xml:space="preserve"> </w:t>
      </w:r>
      <w:r>
        <w:t xml:space="preserve">income is taxable at the federal level but</w:t>
      </w:r>
      <w:r>
        <w:t xml:space="preserve"> </w:t>
      </w:r>
      <w:r>
        <w:rPr>
          <w:b/>
          <w:bCs/>
        </w:rPr>
        <w:t xml:space="preserve">exempt from state and local taxes</w:t>
      </w:r>
      <w:r>
        <w:t xml:space="preserve">.</w:t>
      </w:r>
    </w:p>
    <w:p>
      <w:pPr>
        <w:pStyle w:val="FirstParagraph"/>
      </w:pPr>
      <w:r>
        <w:rPr>
          <w:b/>
          <w:bCs/>
        </w:rPr>
        <w:t xml:space="preserve">Figure 2.1 - Treasury bill listings</w:t>
      </w:r>
      <w:r>
        <w:t xml:space="preserve"> </w:t>
      </w:r>
      <w:r>
        <w:t xml:space="preserve">(from</w:t>
      </w:r>
      <w:r>
        <w:t xml:space="preserve"> </w:t>
      </w:r>
      <w:r>
        <w:rPr>
          <w:i/>
          <w:iCs/>
        </w:rPr>
        <w:t xml:space="preserve">The Wall Street Journal Online</w:t>
      </w:r>
      <w:r>
        <w:t xml:space="preserve">, Sept. 30, 2022):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Maturity</w:t>
            </w:r>
          </w:p>
        </w:tc>
        <w:tc>
          <w:tcPr/>
          <w:p>
            <w:pPr>
              <w:pStyle w:val="Compact"/>
            </w:pPr>
            <w:r>
              <w:t xml:space="preserve">Days to Maturity</w:t>
            </w:r>
          </w:p>
        </w:tc>
        <w:tc>
          <w:tcPr/>
          <w:p>
            <w:pPr>
              <w:pStyle w:val="Compact"/>
            </w:pPr>
            <w:r>
              <w:t xml:space="preserve">Bid</w:t>
            </w:r>
          </w:p>
        </w:tc>
        <w:tc>
          <w:tcPr/>
          <w:p>
            <w:pPr>
              <w:pStyle w:val="Compact"/>
            </w:pPr>
            <w:r>
              <w:t xml:space="preserve">Asked</w:t>
            </w:r>
          </w:p>
        </w:tc>
        <w:tc>
          <w:tcPr/>
          <w:p>
            <w:pPr>
              <w:pStyle w:val="Compact"/>
            </w:pPr>
            <w:r>
              <w:t xml:space="preserve">Change</w:t>
            </w:r>
          </w:p>
        </w:tc>
        <w:tc>
          <w:tcPr/>
          <w:p>
            <w:pPr>
              <w:pStyle w:val="Compact"/>
            </w:pPr>
            <w:r>
              <w:t xml:space="preserve">Asked Yield</w:t>
            </w:r>
          </w:p>
        </w:tc>
      </w:tr>
      <w:tr>
        <w:tc>
          <w:tcPr/>
          <w:p>
            <w:pPr>
              <w:pStyle w:val="Compact"/>
            </w:pPr>
            <w:r>
              <w:t xml:space="preserve">11-Oct-22</w:t>
            </w:r>
          </w:p>
        </w:tc>
        <w:tc>
          <w:tcPr/>
          <w:p>
            <w:pPr>
              <w:pStyle w:val="Compact"/>
            </w:pPr>
            <w:r>
              <w:t xml:space="preserve">11</w:t>
            </w:r>
          </w:p>
        </w:tc>
        <w:tc>
          <w:tcPr/>
          <w:p>
            <w:pPr>
              <w:pStyle w:val="Compact"/>
            </w:pPr>
            <w:r>
              <w:t xml:space="preserve">2.460</w:t>
            </w:r>
          </w:p>
        </w:tc>
        <w:tc>
          <w:tcPr/>
          <w:p>
            <w:pPr>
              <w:pStyle w:val="Compact"/>
            </w:pPr>
            <w:r>
              <w:t xml:space="preserve">2.450</w:t>
            </w:r>
          </w:p>
        </w:tc>
        <w:tc>
          <w:tcPr/>
          <w:p>
            <w:pPr>
              <w:pStyle w:val="Compact"/>
            </w:pPr>
            <w:r>
              <w:t xml:space="preserve">0.160</w:t>
            </w:r>
          </w:p>
        </w:tc>
        <w:tc>
          <w:tcPr/>
          <w:p>
            <w:pPr>
              <w:pStyle w:val="Compact"/>
            </w:pPr>
            <w:r>
              <w:t xml:space="preserve">2.485</w:t>
            </w:r>
          </w:p>
        </w:tc>
      </w:tr>
      <w:tr>
        <w:tc>
          <w:tcPr/>
          <w:p>
            <w:pPr>
              <w:pStyle w:val="Compact"/>
            </w:pPr>
            <w:r>
              <w:t xml:space="preserve">17-Nov-22</w:t>
            </w:r>
          </w:p>
        </w:tc>
        <w:tc>
          <w:tcPr/>
          <w:p>
            <w:pPr>
              <w:pStyle w:val="Compact"/>
            </w:pPr>
            <w:r>
              <w:t xml:space="preserve">48</w:t>
            </w:r>
          </w:p>
        </w:tc>
        <w:tc>
          <w:tcPr/>
          <w:p>
            <w:pPr>
              <w:pStyle w:val="Compact"/>
            </w:pPr>
            <w:r>
              <w:t xml:space="preserve">2.818</w:t>
            </w:r>
          </w:p>
        </w:tc>
        <w:tc>
          <w:tcPr/>
          <w:p>
            <w:pPr>
              <w:pStyle w:val="Compact"/>
            </w:pPr>
            <w:r>
              <w:t xml:space="preserve">2.808</w:t>
            </w:r>
          </w:p>
        </w:tc>
        <w:tc>
          <w:tcPr/>
          <w:p>
            <w:pPr>
              <w:pStyle w:val="Compact"/>
            </w:pPr>
            <w:r>
              <w:t xml:space="preserve">0.000</w:t>
            </w:r>
          </w:p>
        </w:tc>
        <w:tc>
          <w:tcPr/>
          <w:p>
            <w:pPr>
              <w:pStyle w:val="Compact"/>
            </w:pPr>
            <w:r>
              <w:t xml:space="preserve">2.857</w:t>
            </w:r>
          </w:p>
        </w:tc>
      </w:tr>
      <w:tr>
        <w:tc>
          <w:tcPr/>
          <w:p>
            <w:pPr>
              <w:pStyle w:val="Compact"/>
            </w:pPr>
            <w:r>
              <w:t xml:space="preserve">05-Jan-23</w:t>
            </w:r>
          </w:p>
        </w:tc>
        <w:tc>
          <w:tcPr/>
          <w:p>
            <w:pPr>
              <w:pStyle w:val="Compact"/>
            </w:pPr>
            <w:r>
              <w:t xml:space="preserve">97</w:t>
            </w:r>
          </w:p>
        </w:tc>
        <w:tc>
          <w:tcPr/>
          <w:p>
            <w:pPr>
              <w:pStyle w:val="Compact"/>
            </w:pPr>
            <w:r>
              <w:t xml:space="preserve">3.168</w:t>
            </w:r>
          </w:p>
        </w:tc>
        <w:tc>
          <w:tcPr/>
          <w:p>
            <w:pPr>
              <w:pStyle w:val="Compact"/>
            </w:pPr>
            <w:r>
              <w:t xml:space="preserve">3.158</w:t>
            </w:r>
          </w:p>
        </w:tc>
        <w:tc>
          <w:tcPr/>
          <w:p>
            <w:pPr>
              <w:pStyle w:val="Compact"/>
            </w:pPr>
            <w:r>
              <w:t xml:space="preserve">0.007</w:t>
            </w:r>
          </w:p>
        </w:tc>
        <w:tc>
          <w:tcPr/>
          <w:p>
            <w:pPr>
              <w:pStyle w:val="Compact"/>
            </w:pPr>
            <w:r>
              <w:t xml:space="preserve">3.229</w:t>
            </w:r>
          </w:p>
        </w:tc>
      </w:tr>
      <w:tr>
        <w:tc>
          <w:tcPr/>
          <w:p>
            <w:pPr>
              <w:pStyle w:val="Compact"/>
            </w:pPr>
            <w:r>
              <w:t xml:space="preserve">20-Apr-23</w:t>
            </w:r>
          </w:p>
        </w:tc>
        <w:tc>
          <w:tcPr/>
          <w:p>
            <w:pPr>
              <w:pStyle w:val="Compact"/>
            </w:pPr>
            <w:r>
              <w:t xml:space="preserve">202</w:t>
            </w:r>
          </w:p>
        </w:tc>
        <w:tc>
          <w:tcPr/>
          <w:p>
            <w:pPr>
              <w:pStyle w:val="Compact"/>
            </w:pPr>
            <w:r>
              <w:t xml:space="preserve">3.568</w:t>
            </w:r>
          </w:p>
        </w:tc>
        <w:tc>
          <w:tcPr/>
          <w:p>
            <w:pPr>
              <w:pStyle w:val="Compact"/>
            </w:pPr>
            <w:r>
              <w:t xml:space="preserve">3.558</w:t>
            </w:r>
          </w:p>
        </w:tc>
        <w:tc>
          <w:tcPr/>
          <w:p>
            <w:pPr>
              <w:pStyle w:val="Compact"/>
            </w:pPr>
            <w:r>
              <w:t xml:space="preserve">0.018</w:t>
            </w:r>
          </w:p>
        </w:tc>
        <w:tc>
          <w:tcPr/>
          <w:p>
            <w:pPr>
              <w:pStyle w:val="Compact"/>
            </w:pPr>
            <w:r>
              <w:t xml:space="preserve">3.681</w:t>
            </w:r>
          </w:p>
        </w:tc>
      </w:tr>
      <w:tr>
        <w:tc>
          <w:tcPr/>
          <w:p>
            <w:pPr>
              <w:pStyle w:val="Compact"/>
            </w:pPr>
            <w:r>
              <w:t xml:space="preserve">10-Aug-23</w:t>
            </w:r>
          </w:p>
        </w:tc>
        <w:tc>
          <w:tcPr/>
          <w:p>
            <w:pPr>
              <w:pStyle w:val="Compact"/>
            </w:pPr>
            <w:r>
              <w:t xml:space="preserve">314</w:t>
            </w:r>
          </w:p>
        </w:tc>
        <w:tc>
          <w:tcPr/>
          <w:p>
            <w:pPr>
              <w:pStyle w:val="Compact"/>
            </w:pPr>
            <w:r>
              <w:t xml:space="preserve">3.630</w:t>
            </w:r>
          </w:p>
        </w:tc>
        <w:tc>
          <w:tcPr/>
          <w:p>
            <w:pPr>
              <w:pStyle w:val="Compact"/>
            </w:pPr>
            <w:r>
              <w:t xml:space="preserve">3.620</w:t>
            </w:r>
          </w:p>
        </w:tc>
        <w:tc>
          <w:tcPr/>
          <w:p>
            <w:pPr>
              <w:pStyle w:val="Compact"/>
            </w:pPr>
            <w:r>
              <w:t xml:space="preserve">0.015</w:t>
            </w:r>
          </w:p>
        </w:tc>
        <w:tc>
          <w:tcPr/>
          <w:p>
            <w:pPr>
              <w:pStyle w:val="Compact"/>
            </w:pPr>
            <w:r>
              <w:t xml:space="preserve">3.790</w:t>
            </w:r>
          </w:p>
        </w:tc>
      </w:tr>
    </w:tbl>
    <w:p>
      <w:pPr>
        <w:pStyle w:val="BodyText"/>
      </w:pPr>
      <w:r>
        <w:t xml:space="preserve">The financial press reports</w:t>
      </w:r>
      <w:r>
        <w:t xml:space="preserve"> </w:t>
      </w:r>
      <w:r>
        <w:rPr>
          <w:b/>
          <w:bCs/>
        </w:rPr>
        <w:t xml:space="preserve">yields</w:t>
      </w:r>
      <w:r>
        <w:t xml:space="preserve">, not prices. The</w:t>
      </w:r>
      <w:r>
        <w:t xml:space="preserve"> </w:t>
      </w:r>
      <w:r>
        <w:rPr>
          <w:b/>
          <w:bCs/>
        </w:rPr>
        <w:t xml:space="preserve">asked price</w:t>
      </w:r>
      <w:r>
        <w:t xml:space="preserve"> </w:t>
      </w:r>
      <w:r>
        <w:t xml:space="preserve">is what you pay to buy a bill from a dealer; the</w:t>
      </w:r>
      <w:r>
        <w:t xml:space="preserve"> </w:t>
      </w:r>
      <w:r>
        <w:rPr>
          <w:b/>
          <w:bCs/>
        </w:rPr>
        <w:t xml:space="preserve">bid price</w:t>
      </w:r>
      <w:r>
        <w:t xml:space="preserve"> </w:t>
      </w:r>
      <w:r>
        <w:t xml:space="preserve">is the slightly lower price you receive when selling to a dealer; the</w:t>
      </w:r>
      <w:r>
        <w:t xml:space="preserve"> </w:t>
      </w:r>
      <w:r>
        <w:rPr>
          <w:b/>
          <w:bCs/>
        </w:rPr>
        <w:t xml:space="preserve">bid-asked spread</w:t>
      </w:r>
      <w:r>
        <w:t xml:space="preserve"> </w:t>
      </w:r>
      <w:r>
        <w:t xml:space="preserve">is the dealer’s profit.</w:t>
      </w:r>
    </w:p>
    <w:p>
      <w:pPr>
        <w:pStyle w:val="BodyText"/>
      </w:pPr>
      <w:r>
        <w:rPr>
          <w:b/>
          <w:bCs/>
        </w:rPr>
        <w:t xml:space="preserve">The bank-discount method.</w:t>
      </w:r>
      <w:r>
        <w:t xml:space="preserve"> </w:t>
      </w:r>
      <w:r>
        <w:t xml:space="preserve">The first columns are quoted using the bank-discount method, which annualizes the discount on a 360-day year and expresses it as a percentage of</w:t>
      </w:r>
      <w:r>
        <w:t xml:space="preserve"> </w:t>
      </w:r>
      <w:r>
        <w:rPr>
          <w:i/>
          <w:iCs/>
        </w:rPr>
        <w:t xml:space="preserve">face</w:t>
      </w:r>
      <w:r>
        <w:t xml:space="preserve"> </w:t>
      </w:r>
      <w:r>
        <w:t xml:space="preserve">value:</w:t>
      </w:r>
    </w:p>
    <w:p>
      <w:pPr>
        <w:pStyle w:val="BodyText"/>
      </w:pPr>
      <m:oMathPara>
        <m:oMathParaPr>
          <m:jc m:val="center"/>
        </m:oMathParaPr>
        <m:oMath>
          <m:r>
            <m:rPr>
              <m:nor/>
              <m:sty m:val="p"/>
            </m:rPr>
            <m:t>Ask price</m:t>
          </m:r>
          <m:r>
            <m:rPr>
              <m:sty m:val="p"/>
            </m:rPr>
            <m:t>=</m:t>
          </m:r>
          <m:r>
            <m:t>1</m:t>
          </m:r>
          <m:r>
            <m:rPr>
              <m:sty m:val="p"/>
            </m:rPr>
            <m:t>−</m:t>
          </m:r>
          <m:r>
            <m:rPr>
              <m:nor/>
              <m:sty m:val="p"/>
            </m:rPr>
            <m:t>ASKED</m:t>
          </m:r>
          <m:r>
            <m:rPr>
              <m:sty m:val="p"/>
            </m:rPr>
            <m:t>×</m:t>
          </m:r>
          <m:f>
            <m:fPr>
              <m:type m:val="bar"/>
            </m:fPr>
            <m:num>
              <m:r>
                <m:rPr>
                  <m:nor/>
                  <m:sty m:val="p"/>
                </m:rPr>
                <m:t>Days until maturity</m:t>
              </m:r>
            </m:num>
            <m:den>
              <m:r>
                <m:t>360</m:t>
              </m:r>
            </m:den>
          </m:f>
        </m:oMath>
      </m:oMathPara>
    </w:p>
    <w:p>
      <w:pPr>
        <w:pStyle w:val="FirstParagraph"/>
      </w:pPr>
      <w:r>
        <w:t xml:space="preserve">For the 97-day bill asked at 3.158%, the price is</w:t>
      </w:r>
      <w:r>
        <w:t xml:space="preserve"> </w:t>
      </w:r>
      <m:oMath>
        <m:r>
          <m:t>10</m:t>
        </m:r>
        <m:r>
          <m:rPr>
            <m:sty m:val="p"/>
          </m:rPr>
          <m:t>,</m:t>
        </m:r>
        <m:r>
          <m:t>000</m:t>
        </m:r>
        <m:r>
          <m:rPr>
            <m:sty m:val="p"/>
          </m:rPr>
          <m:t>×</m:t>
        </m:r>
        <m:d>
          <m:dPr>
            <m:begChr m:val="("/>
            <m:sepChr m:val=""/>
            <m:endChr m:val=")"/>
            <m:grow/>
          </m:dPr>
          <m:e>
            <m:r>
              <m:t>1</m:t>
            </m:r>
            <m:r>
              <m:rPr>
                <m:sty m:val="p"/>
              </m:rPr>
              <m:t>−</m:t>
            </m:r>
            <m:r>
              <m:t>.03158</m:t>
            </m:r>
            <m:r>
              <m:rPr>
                <m:sty m:val="p"/>
              </m:rPr>
              <m:t>×</m:t>
            </m:r>
            <m:r>
              <m:t>97</m:t>
            </m:r>
            <m:r>
              <m:rPr>
                <m:sty m:val="p"/>
              </m:rPr>
              <m:t>/</m:t>
            </m:r>
            <m:r>
              <m:t>360</m:t>
            </m:r>
          </m:e>
        </m:d>
        <m:r>
          <m:rPr>
            <m:sty m:val="p"/>
          </m:rPr>
          <m:t>=</m:t>
        </m:r>
        <m:r>
          <m:rPr>
            <m:sty m:val="p"/>
          </m:rPr>
          <m:t>$</m:t>
        </m:r>
        <m:r>
          <m:t>9</m:t>
        </m:r>
        <m:r>
          <m:rPr>
            <m:sty m:val="p"/>
          </m:rPr>
          <m:t>,</m:t>
        </m:r>
        <m:r>
          <m:t>914.91</m:t>
        </m:r>
      </m:oMath>
      <w:r>
        <w:t xml:space="preserve"> </w:t>
      </w:r>
      <w:r>
        <w:t xml:space="preserve">on a $10,000 face value.</w:t>
      </w:r>
    </w:p>
    <w:p>
      <w:pPr>
        <w:pStyle w:val="BodyText"/>
      </w:pPr>
      <w:r>
        <w:t xml:space="preserve">The bank-discount method is flawed for two reasons: it assumes a 360-day year, and it computes the return as a fraction of</w:t>
      </w:r>
      <w:r>
        <w:t xml:space="preserve"> </w:t>
      </w:r>
      <w:r>
        <w:rPr>
          <w:i/>
          <w:iCs/>
        </w:rPr>
        <w:t xml:space="preserve">face</w:t>
      </w:r>
      <w:r>
        <w:t xml:space="preserve"> </w:t>
      </w:r>
      <w:r>
        <w:t xml:space="preserve">value rather than the</w:t>
      </w:r>
      <w:r>
        <w:t xml:space="preserve"> </w:t>
      </w:r>
      <w:r>
        <w:rPr>
          <w:i/>
          <w:iCs/>
        </w:rPr>
        <w:t xml:space="preserve">price actually paid</w:t>
      </w:r>
      <w:r>
        <w:t xml:space="preserve">. The</w:t>
      </w:r>
      <w:r>
        <w:t xml:space="preserve"> </w:t>
      </w:r>
      <w:r>
        <w:rPr>
          <w:b/>
          <w:bCs/>
        </w:rPr>
        <w:t xml:space="preserve">bond-equivalent yield</w:t>
      </w:r>
      <w:r>
        <w:t xml:space="preserve"> </w:t>
      </w:r>
      <w:r>
        <w:t xml:space="preserve">in the last column corrects both, annualizing the true gain on a 365-day year:</w:t>
      </w:r>
    </w:p>
    <w:p>
      <w:pPr>
        <w:pStyle w:val="BodyText"/>
      </w:pPr>
      <m:oMathPara>
        <m:oMathParaPr>
          <m:jc m:val="center"/>
        </m:oMathParaPr>
        <m:oMath>
          <m:r>
            <m:rPr>
              <m:nor/>
              <m:sty m:val="p"/>
            </m:rPr>
            <m:t>Bond-equivalent yield</m:t>
          </m:r>
          <m:r>
            <m:rPr>
              <m:sty m:val="p"/>
            </m:rPr>
            <m:t>=</m:t>
          </m:r>
          <m:f>
            <m:fPr>
              <m:type m:val="bar"/>
            </m:fPr>
            <m:num>
              <m:r>
                <m:t>10</m:t>
              </m:r>
              <m:r>
                <m:rPr>
                  <m:sty m:val="p"/>
                </m:rPr>
                <m:t>,</m:t>
              </m:r>
              <m:r>
                <m:t>000</m:t>
              </m:r>
              <m:r>
                <m:rPr>
                  <m:sty m:val="p"/>
                </m:rPr>
                <m:t>−</m:t>
              </m:r>
              <m:r>
                <m:t>P</m:t>
              </m:r>
            </m:num>
            <m:den>
              <m:r>
                <m:t>P</m:t>
              </m:r>
            </m:den>
          </m:f>
          <m:r>
            <m:rPr>
              <m:sty m:val="p"/>
            </m:rPr>
            <m:t>×</m:t>
          </m:r>
          <m:f>
            <m:fPr>
              <m:type m:val="bar"/>
            </m:fPr>
            <m:num>
              <m:r>
                <m:t>365</m:t>
              </m:r>
            </m:num>
            <m:den>
              <m:r>
                <m:t>n</m:t>
              </m:r>
            </m:den>
          </m:f>
        </m:oMath>
      </m:oMathPara>
    </w:p>
    <w:p>
      <w:pPr>
        <w:pStyle w:val="FirstParagraph"/>
      </w:pPr>
      <w:r>
        <w:t xml:space="preserve">For the same bill, the gain over 97 days is</w:t>
      </w:r>
      <w:r>
        <w:t xml:space="preserve"> </w:t>
      </w:r>
      <m:oMath>
        <m:r>
          <m:t>10</m:t>
        </m:r>
        <m:r>
          <m:rPr>
            <m:sty m:val="p"/>
          </m:rPr>
          <m:t>,</m:t>
        </m:r>
        <m:r>
          <m:t>000</m:t>
        </m:r>
        <m:r>
          <m:rPr>
            <m:sty m:val="p"/>
          </m:rPr>
          <m:t>/</m:t>
        </m:r>
        <m:r>
          <m:t>9</m:t>
        </m:r>
        <m:r>
          <m:rPr>
            <m:sty m:val="p"/>
          </m:rPr>
          <m:t>,</m:t>
        </m:r>
        <m:r>
          <m:t>914.91</m:t>
        </m:r>
        <m:r>
          <m:rPr>
            <m:sty m:val="p"/>
          </m:rPr>
          <m:t>=</m:t>
        </m:r>
        <m:r>
          <m:t>1.008582</m:t>
        </m:r>
      </m:oMath>
      <w:r>
        <w:t xml:space="preserve">, or .8582%; annualized,</w:t>
      </w:r>
      <w:r>
        <w:t xml:space="preserve"> </w:t>
      </w:r>
      <m:oMath>
        <m:r>
          <m:t>.8582</m:t>
        </m:r>
        <m:r>
          <m:rPr>
            <m:sty m:val="p"/>
          </m:rPr>
          <m:t>%</m:t>
        </m:r>
        <m:r>
          <m:rPr>
            <m:sty m:val="p"/>
          </m:rPr>
          <m:t>×</m:t>
        </m:r>
        <m:r>
          <m:t>365</m:t>
        </m:r>
        <m:r>
          <m:rPr>
            <m:sty m:val="p"/>
          </m:rPr>
          <m:t>/</m:t>
        </m:r>
        <m:r>
          <m:t>97</m:t>
        </m:r>
        <m:r>
          <m:rPr>
            <m:sty m:val="p"/>
          </m:rPr>
          <m:t>=</m:t>
        </m:r>
        <m:r>
          <m:t>3.229</m:t>
        </m:r>
        <m:r>
          <m:rPr>
            <m:sty m:val="p"/>
          </m:rPr>
          <m:t>%</m:t>
        </m:r>
      </m:oMath>
      <w:r>
        <w:t xml:space="preserve">.</w:t>
      </w:r>
    </w:p>
    <w:bookmarkEnd w:id="22"/>
    <w:bookmarkStart w:id="23" w:name="certificates-of-deposit"/>
    <w:p>
      <w:pPr>
        <w:pStyle w:val="Heading2"/>
      </w:pPr>
      <w:r>
        <w:t xml:space="preserve">2.1.2 Certificates of Deposit</w:t>
      </w:r>
    </w:p>
    <w:p>
      <w:pPr>
        <w:pStyle w:val="FirstParagraph"/>
      </w:pPr>
      <w:r>
        <w:t xml:space="preserve">A</w:t>
      </w:r>
      <w:r>
        <w:t xml:space="preserve"> </w:t>
      </w:r>
      <w:r>
        <w:rPr>
          <w:b/>
          <w:bCs/>
        </w:rPr>
        <w:t xml:space="preserve">certificate of deposit (CD)</w:t>
      </w:r>
      <w:r>
        <w:t xml:space="preserve"> </w:t>
      </w:r>
      <w:r>
        <w:t xml:space="preserve">is a</w:t>
      </w:r>
      <w:r>
        <w:t xml:space="preserve"> </w:t>
      </w:r>
      <w:r>
        <w:rPr>
          <w:b/>
          <w:bCs/>
        </w:rPr>
        <w:t xml:space="preserve">time deposit</w:t>
      </w:r>
      <w:r>
        <w:t xml:space="preserve"> </w:t>
      </w:r>
      <w:r>
        <w:t xml:space="preserve">with a bank. Unlike demand deposits (checking accounts), time deposits cannot be withdrawn on demand - the bank pays interest and principal only at maturity. CDs above $100,000 are usually</w:t>
      </w:r>
      <w:r>
        <w:t xml:space="preserve"> </w:t>
      </w:r>
      <w:r>
        <w:rPr>
          <w:b/>
          <w:bCs/>
        </w:rPr>
        <w:t xml:space="preserve">negotiable</w:t>
      </w:r>
      <w:r>
        <w:t xml:space="preserve"> </w:t>
      </w:r>
      <w:r>
        <w:t xml:space="preserve">(they can be sold to another investor before maturity). Short-term CDs are highly marketable, though the market thins out for maturities of three months or more. As bank deposits, CDs are</w:t>
      </w:r>
      <w:r>
        <w:t xml:space="preserve"> </w:t>
      </w:r>
      <w:r>
        <w:rPr>
          <w:b/>
          <w:bCs/>
        </w:rPr>
        <w:t xml:space="preserve">FDIC-insured up to $250,000</w:t>
      </w:r>
      <w:r>
        <w:t xml:space="preserve"> </w:t>
      </w:r>
      <w:r>
        <w:t xml:space="preserve">in the event of a bank insolvency.</w:t>
      </w:r>
    </w:p>
    <w:bookmarkEnd w:id="23"/>
    <w:bookmarkStart w:id="24" w:name="commercial-paper"/>
    <w:p>
      <w:pPr>
        <w:pStyle w:val="Heading2"/>
      </w:pPr>
      <w:r>
        <w:t xml:space="preserve">2.1.3 Commercial Paper</w:t>
      </w:r>
    </w:p>
    <w:p>
      <w:pPr>
        <w:pStyle w:val="FirstParagraph"/>
      </w:pPr>
      <w:r>
        <w:rPr>
          <w:b/>
          <w:bCs/>
        </w:rPr>
        <w:t xml:space="preserve">Commercial paper (CP)</w:t>
      </w:r>
      <w:r>
        <w:t xml:space="preserve"> </w:t>
      </w:r>
      <w:r>
        <w:t xml:space="preserve">is short-term unsecured debt issued directly to the public by large, well-known corporations, in lieu of borrowing from banks. Features:</w:t>
      </w:r>
    </w:p>
    <w:p>
      <w:pPr>
        <w:pStyle w:val="Compact"/>
        <w:numPr>
          <w:ilvl w:val="0"/>
          <w:numId w:val="1004"/>
        </w:numPr>
      </w:pPr>
      <w:r>
        <w:rPr>
          <w:b/>
          <w:bCs/>
        </w:rPr>
        <w:t xml:space="preserve">Maturities:</w:t>
      </w:r>
      <w:r>
        <w:t xml:space="preserve"> </w:t>
      </w:r>
      <w:r>
        <w:t xml:space="preserve">up to 270 days, but most often 1-2 months, usually in multiples of $100,000 (so small investors participate mainly through money market funds).</w:t>
      </w:r>
    </w:p>
    <w:p>
      <w:pPr>
        <w:pStyle w:val="Compact"/>
        <w:numPr>
          <w:ilvl w:val="0"/>
          <w:numId w:val="1004"/>
        </w:numPr>
      </w:pPr>
      <w:r>
        <w:rPr>
          <w:b/>
          <w:bCs/>
        </w:rPr>
        <w:t xml:space="preserve">Safety:</w:t>
      </w:r>
      <w:r>
        <w:t xml:space="preserve"> </w:t>
      </w:r>
      <w:r>
        <w:t xml:space="preserve">considered fairly safe because a firm’s condition can be monitored over such a short horizon; most issues are rated, and CP trades in secondary markets and is quite liquid.</w:t>
      </w:r>
    </w:p>
    <w:p>
      <w:pPr>
        <w:pStyle w:val="Compact"/>
        <w:numPr>
          <w:ilvl w:val="0"/>
          <w:numId w:val="1004"/>
        </w:numPr>
      </w:pPr>
      <w:r>
        <w:rPr>
          <w:b/>
          <w:bCs/>
        </w:rPr>
        <w:t xml:space="preserve">Backing:</w:t>
      </w:r>
      <w:r>
        <w:t xml:space="preserve"> </w:t>
      </w:r>
      <w:r>
        <w:t xml:space="preserve">sometimes supported by a bank line of credit.</w:t>
      </w:r>
    </w:p>
    <w:p>
      <w:pPr>
        <w:pStyle w:val="FirstParagraph"/>
      </w:pPr>
      <w:r>
        <w:rPr>
          <w:b/>
          <w:bCs/>
        </w:rPr>
        <w:t xml:space="preserve">Asset-backed commercial paper.</w:t>
      </w:r>
      <w:r>
        <w:t xml:space="preserve"> </w:t>
      </w:r>
      <w:r>
        <w:t xml:space="preserve">In the years before the financial crisis, financial firms sharply increased issuance of</w:t>
      </w:r>
      <w:r>
        <w:t xml:space="preserve"> </w:t>
      </w:r>
      <w:r>
        <w:rPr>
          <w:i/>
          <w:iCs/>
        </w:rPr>
        <w:t xml:space="preserve">asset-backed</w:t>
      </w:r>
      <w:r>
        <w:t xml:space="preserve"> </w:t>
      </w:r>
      <w:r>
        <w:t xml:space="preserve">CP - short-term paper collateralized by other assets, most notoriously subprime mortgages. When those mortgages began defaulting in 2007, issuers found themselves unable to roll over (refinance) their maturing paper.</w:t>
      </w:r>
    </w:p>
    <w:bookmarkEnd w:id="24"/>
    <w:bookmarkStart w:id="25" w:name="bankers-acceptances"/>
    <w:p>
      <w:pPr>
        <w:pStyle w:val="Heading2"/>
      </w:pPr>
      <w:r>
        <w:t xml:space="preserve">2.1.4 Bankers’ Acceptances</w:t>
      </w:r>
    </w:p>
    <w:p>
      <w:pPr>
        <w:pStyle w:val="FirstParagraph"/>
      </w:pPr>
      <w:r>
        <w:t xml:space="preserve">A</w:t>
      </w:r>
      <w:r>
        <w:t xml:space="preserve"> </w:t>
      </w:r>
      <w:r>
        <w:rPr>
          <w:b/>
          <w:bCs/>
        </w:rPr>
        <w:t xml:space="preserve">bankers’ acceptance</w:t>
      </w:r>
      <w:r>
        <w:t xml:space="preserve"> </w:t>
      </w:r>
      <w:r>
        <w:t xml:space="preserve">begins as an order to a bank by a customer to pay a sum of money at a future date, typically within six months - much like a postdated check. Once the bank stamps the order</w:t>
      </w:r>
      <w:r>
        <w:t xml:space="preserve"> </w:t>
      </w:r>
      <w:r>
        <w:t xml:space="preserve">“</w:t>
      </w:r>
      <w:r>
        <w:rPr>
          <w:b/>
          <w:bCs/>
        </w:rPr>
        <w:t xml:space="preserve">accepted</w:t>
      </w:r>
      <w:r>
        <w:t xml:space="preserve">,”</w:t>
      </w:r>
      <w:r>
        <w:t xml:space="preserve"> </w:t>
      </w:r>
      <w:r>
        <w:t xml:space="preserve">it assumes responsibility for payment, and the acceptance can then trade in secondary markets like any other claim on the bank. Because they substitute the bank’s creditworthiness for the customer’s, acceptances are considered very safe and are widely used in</w:t>
      </w:r>
      <w:r>
        <w:t xml:space="preserve"> </w:t>
      </w:r>
      <w:r>
        <w:rPr>
          <w:b/>
          <w:bCs/>
        </w:rPr>
        <w:t xml:space="preserve">foreign trade</w:t>
      </w:r>
      <w:r>
        <w:t xml:space="preserve">, where one trader’s creditworthiness may be unknown to the other. They sell at a discount from face value, like T-bills.</w:t>
      </w:r>
    </w:p>
    <w:bookmarkEnd w:id="25"/>
    <w:bookmarkStart w:id="26" w:name="eurodollars"/>
    <w:p>
      <w:pPr>
        <w:pStyle w:val="Heading2"/>
      </w:pPr>
      <w:r>
        <w:t xml:space="preserve">2.1.5 Eurodollars</w:t>
      </w:r>
    </w:p>
    <w:p>
      <w:pPr>
        <w:pStyle w:val="FirstParagraph"/>
      </w:pPr>
      <w:r>
        <w:rPr>
          <w:b/>
          <w:bCs/>
        </w:rPr>
        <w:t xml:space="preserve">Eurodollars</w:t>
      </w:r>
      <w:r>
        <w:t xml:space="preserve"> </w:t>
      </w:r>
      <w:r>
        <w:t xml:space="preserve">are dollar-denominated deposits held at foreign banks or foreign branches of American banks. By locating outside the United States, these banks escape Federal Reserve regulation. Despite the</w:t>
      </w:r>
      <w:r>
        <w:t xml:space="preserve"> </w:t>
      </w:r>
      <w:r>
        <w:t xml:space="preserve">“Euro”</w:t>
      </w:r>
      <w:r>
        <w:t xml:space="preserve"> </w:t>
      </w:r>
      <w:r>
        <w:t xml:space="preserve">tag, the deposits need not be in Europe. Most are large-sum time deposits of less than six months’ maturity. A Eurodollar CD resembles a domestic CD but is the liability of a non-U.S. branch. (Dollar-denominated</w:t>
      </w:r>
      <w:r>
        <w:t xml:space="preserve"> </w:t>
      </w:r>
      <w:r>
        <w:rPr>
          <w:i/>
          <w:iCs/>
        </w:rPr>
        <w:t xml:space="preserve">Eurobonds</w:t>
      </w:r>
      <w:r>
        <w:t xml:space="preserve"> </w:t>
      </w:r>
      <w:r>
        <w:t xml:space="preserve">also exist but are excluded from the money market because of their long maturities.)</w:t>
      </w:r>
    </w:p>
    <w:bookmarkEnd w:id="26"/>
    <w:bookmarkStart w:id="27" w:name="repos-and-reverses"/>
    <w:p>
      <w:pPr>
        <w:pStyle w:val="Heading2"/>
      </w:pPr>
      <w:r>
        <w:t xml:space="preserve">2.1.6 Repos and Reverses</w:t>
      </w:r>
    </w:p>
    <w:p>
      <w:pPr>
        <w:pStyle w:val="FirstParagraph"/>
      </w:pPr>
      <w:r>
        <w:t xml:space="preserve">Government-securities dealers use</w:t>
      </w:r>
      <w:r>
        <w:t xml:space="preserve"> </w:t>
      </w:r>
      <w:r>
        <w:rPr>
          <w:b/>
          <w:bCs/>
        </w:rPr>
        <w:t xml:space="preserve">repurchase agreements (repos, or RPs)</w:t>
      </w:r>
      <w:r>
        <w:t xml:space="preserve"> </w:t>
      </w:r>
      <w:r>
        <w:t xml:space="preserve">for short-term, usually overnight, borrowing:</w:t>
      </w:r>
    </w:p>
    <w:p>
      <w:pPr>
        <w:pStyle w:val="Compact"/>
        <w:numPr>
          <w:ilvl w:val="0"/>
          <w:numId w:val="1005"/>
        </w:numPr>
      </w:pPr>
      <w:r>
        <w:t xml:space="preserve">The dealer</w:t>
      </w:r>
      <w:r>
        <w:t xml:space="preserve"> </w:t>
      </w:r>
      <w:r>
        <w:rPr>
          <w:b/>
          <w:bCs/>
        </w:rPr>
        <w:t xml:space="preserve">sells</w:t>
      </w:r>
      <w:r>
        <w:t xml:space="preserve"> </w:t>
      </w:r>
      <w:r>
        <w:t xml:space="preserve">securities to an investor with an agreement to</w:t>
      </w:r>
      <w:r>
        <w:t xml:space="preserve"> </w:t>
      </w:r>
      <w:r>
        <w:rPr>
          <w:b/>
          <w:bCs/>
        </w:rPr>
        <w:t xml:space="preserve">buy them back</w:t>
      </w:r>
      <w:r>
        <w:t xml:space="preserve"> </w:t>
      </w:r>
      <w:r>
        <w:t xml:space="preserve">the next day at a slightly higher price. The price increase is the overnight interest, and the securities serve as</w:t>
      </w:r>
      <w:r>
        <w:t xml:space="preserve"> </w:t>
      </w:r>
      <w:r>
        <w:rPr>
          <w:b/>
          <w:bCs/>
        </w:rPr>
        <w:t xml:space="preserve">collateral</w:t>
      </w:r>
      <w:r>
        <w:t xml:space="preserve"> </w:t>
      </w:r>
      <w:r>
        <w:t xml:space="preserve">- making the repo effectively a collateralized loan with very low credit risk.</w:t>
      </w:r>
    </w:p>
    <w:p>
      <w:pPr>
        <w:pStyle w:val="Compact"/>
        <w:numPr>
          <w:ilvl w:val="0"/>
          <w:numId w:val="1005"/>
        </w:numPr>
      </w:pPr>
      <w:r>
        <w:t xml:space="preserve">A</w:t>
      </w:r>
      <w:r>
        <w:t xml:space="preserve"> </w:t>
      </w:r>
      <w:r>
        <w:rPr>
          <w:b/>
          <w:bCs/>
        </w:rPr>
        <w:t xml:space="preserve">term repo</w:t>
      </w:r>
      <w:r>
        <w:t xml:space="preserve"> </w:t>
      </w:r>
      <w:r>
        <w:t xml:space="preserve">is identical except the implicit loan runs 30 days or more.</w:t>
      </w:r>
    </w:p>
    <w:p>
      <w:pPr>
        <w:pStyle w:val="Compact"/>
        <w:numPr>
          <w:ilvl w:val="0"/>
          <w:numId w:val="1005"/>
        </w:numPr>
      </w:pPr>
      <w:r>
        <w:t xml:space="preserve">A</w:t>
      </w:r>
      <w:r>
        <w:t xml:space="preserve"> </w:t>
      </w:r>
      <w:r>
        <w:rPr>
          <w:b/>
          <w:bCs/>
        </w:rPr>
        <w:t xml:space="preserve">reverse repo</w:t>
      </w:r>
      <w:r>
        <w:t xml:space="preserve"> </w:t>
      </w:r>
      <w:r>
        <w:t xml:space="preserve">is the mirror image: the dealer</w:t>
      </w:r>
      <w:r>
        <w:t xml:space="preserve"> </w:t>
      </w:r>
      <w:r>
        <w:rPr>
          <w:i/>
          <w:iCs/>
        </w:rPr>
        <w:t xml:space="preserve">buys</w:t>
      </w:r>
      <w:r>
        <w:t xml:space="preserve"> </w:t>
      </w:r>
      <w:r>
        <w:t xml:space="preserve">securities from an investor with an agreement to</w:t>
      </w:r>
      <w:r>
        <w:t xml:space="preserve"> </w:t>
      </w:r>
      <w:r>
        <w:rPr>
          <w:i/>
          <w:iCs/>
        </w:rPr>
        <w:t xml:space="preserve">resell</w:t>
      </w:r>
      <w:r>
        <w:t xml:space="preserve"> </w:t>
      </w:r>
      <w:r>
        <w:t xml:space="preserve">them later at a higher price.</w:t>
      </w:r>
    </w:p>
    <w:bookmarkEnd w:id="27"/>
    <w:bookmarkStart w:id="28" w:name="brokers-calls"/>
    <w:p>
      <w:pPr>
        <w:pStyle w:val="Heading2"/>
      </w:pPr>
      <w:r>
        <w:t xml:space="preserve">2.1.7 Brokers’ Calls</w:t>
      </w:r>
    </w:p>
    <w:p>
      <w:pPr>
        <w:pStyle w:val="FirstParagraph"/>
      </w:pPr>
      <w:r>
        <w:t xml:space="preserve">Investors who buy stocks</w:t>
      </w:r>
      <w:r>
        <w:t xml:space="preserve"> </w:t>
      </w:r>
      <w:r>
        <w:rPr>
          <w:b/>
          <w:bCs/>
        </w:rPr>
        <w:t xml:space="preserve">on margin</w:t>
      </w:r>
      <w:r>
        <w:t xml:space="preserve"> </w:t>
      </w:r>
      <w:r>
        <w:t xml:space="preserve">borrow part of the purchase price from their broker. The broker in turn may borrow from a bank, agreeing to repay on</w:t>
      </w:r>
      <w:r>
        <w:t xml:space="preserve"> </w:t>
      </w:r>
      <w:r>
        <w:rPr>
          <w:b/>
          <w:bCs/>
        </w:rPr>
        <w:t xml:space="preserve">call</w:t>
      </w:r>
      <w:r>
        <w:t xml:space="preserve"> </w:t>
      </w:r>
      <w:r>
        <w:t xml:space="preserve">(immediately) if the bank requests it. The rate charged on such loans - the</w:t>
      </w:r>
      <w:r>
        <w:t xml:space="preserve"> </w:t>
      </w:r>
      <w:r>
        <w:rPr>
          <w:b/>
          <w:bCs/>
        </w:rPr>
        <w:t xml:space="preserve">call money rate</w:t>
      </w:r>
      <w:r>
        <w:t xml:space="preserve"> </w:t>
      </w:r>
      <w:r>
        <w:t xml:space="preserve">- is typically about one percentage point above the short-term T-bill rate.</w:t>
      </w:r>
    </w:p>
    <w:bookmarkEnd w:id="28"/>
    <w:bookmarkStart w:id="29" w:name="federal-funds"/>
    <w:p>
      <w:pPr>
        <w:pStyle w:val="Heading2"/>
      </w:pPr>
      <w:r>
        <w:t xml:space="preserve">2.1.8 Federal Funds</w:t>
      </w:r>
    </w:p>
    <w:p>
      <w:pPr>
        <w:pStyle w:val="FirstParagraph"/>
      </w:pPr>
      <w:r>
        <w:t xml:space="preserve">Just as households keep deposits at banks, banks keep deposits at the Federal Reserve. Each member bank must maintain a minimum balance in a reserve account with the Fed; funds held there are called</w:t>
      </w:r>
      <w:r>
        <w:t xml:space="preserve"> </w:t>
      </w:r>
      <w:r>
        <w:rPr>
          <w:b/>
          <w:bCs/>
        </w:rPr>
        <w:t xml:space="preserve">federal funds (fed funds)</w:t>
      </w:r>
      <w:r>
        <w:t xml:space="preserve">. Banks with excess reserves lend to banks with a shortage, usually overnight, at the</w:t>
      </w:r>
      <w:r>
        <w:t xml:space="preserve"> </w:t>
      </w:r>
      <w:r>
        <w:rPr>
          <w:b/>
          <w:bCs/>
        </w:rPr>
        <w:t xml:space="preserve">federal funds rate</w:t>
      </w:r>
      <w:r>
        <w:t xml:space="preserve">. Although the market arose to help banks meet reserve requirements, the fed funds rate is now watched closely as a key</w:t>
      </w:r>
      <w:r>
        <w:t xml:space="preserve"> </w:t>
      </w:r>
      <w:r>
        <w:rPr>
          <w:b/>
          <w:bCs/>
        </w:rPr>
        <w:t xml:space="preserve">barometer of monetary policy</w:t>
      </w:r>
      <w:r>
        <w:t xml:space="preserve">.</w:t>
      </w:r>
    </w:p>
    <w:bookmarkEnd w:id="29"/>
    <w:bookmarkStart w:id="30" w:name="libor-and-its-replacements"/>
    <w:p>
      <w:pPr>
        <w:pStyle w:val="Heading2"/>
      </w:pPr>
      <w:r>
        <w:t xml:space="preserve">2.1.9 LIBOR and Its Replacements</w:t>
      </w:r>
    </w:p>
    <w:p>
      <w:pPr>
        <w:pStyle w:val="FirstParagraph"/>
      </w:pPr>
      <w:r>
        <w:t xml:space="preserve">The</w:t>
      </w:r>
      <w:r>
        <w:t xml:space="preserve"> </w:t>
      </w:r>
      <w:r>
        <w:rPr>
          <w:b/>
          <w:bCs/>
        </w:rPr>
        <w:t xml:space="preserve">London Interbank Offer Rate (LIBOR)</w:t>
      </w:r>
      <w:r>
        <w:t xml:space="preserve"> </w:t>
      </w:r>
      <w:r>
        <w:t xml:space="preserve">was, until 2021, the premier short-term rate in the European money market and a reference rate for a vast range of contracts (a borrower might pay</w:t>
      </w:r>
      <w:r>
        <w:t xml:space="preserve"> </w:t>
      </w:r>
      <w:r>
        <w:t xml:space="preserve">“LIBOR plus two points”</w:t>
      </w:r>
      <w:r>
        <w:t xml:space="preserve">). More than $500 trillion of derivatives, plus trillions in floating-rate loans and bonds, were linked to it. Related rates included Euribor and Tibor, quoted across several currencies.</w:t>
      </w:r>
    </w:p>
    <w:p>
      <w:pPr>
        <w:pStyle w:val="BodyText"/>
      </w:pPr>
      <w:r>
        <w:t xml:space="preserve">LIBOR’s fatal flaw: it was not a rate at which actual transactions occurred but a</w:t>
      </w:r>
      <w:r>
        <w:t xml:space="preserve"> </w:t>
      </w:r>
      <w:r>
        <w:rPr>
          <w:b/>
          <w:bCs/>
        </w:rPr>
        <w:t xml:space="preserve">survey</w:t>
      </w:r>
      <w:r>
        <w:t xml:space="preserve"> </w:t>
      </w:r>
      <w:r>
        <w:t xml:space="preserve">of banks’</w:t>
      </w:r>
      <w:r>
        <w:t xml:space="preserve"> </w:t>
      </w:r>
      <w:r>
        <w:rPr>
          <w:i/>
          <w:iCs/>
        </w:rPr>
        <w:t xml:space="preserve">estimated</w:t>
      </w:r>
      <w:r>
        <w:t xml:space="preserve"> </w:t>
      </w:r>
      <w:r>
        <w:t xml:space="preserve">borrowing rates - leaving it open to manipulation. In 2012 it emerged that several banks had</w:t>
      </w:r>
      <w:r>
        <w:t xml:space="preserve"> </w:t>
      </w:r>
      <w:r>
        <w:rPr>
          <w:b/>
          <w:bCs/>
        </w:rPr>
        <w:t xml:space="preserve">colluded</w:t>
      </w:r>
      <w:r>
        <w:t xml:space="preserve"> </w:t>
      </w:r>
      <w:r>
        <w:t xml:space="preserve">to shade their submissions to profit on derivatives positions, drawing more than $6 billion in fines. Regulators then decided to replace LIBOR with rates based on</w:t>
      </w:r>
      <w:r>
        <w:t xml:space="preserve"> </w:t>
      </w:r>
      <w:r>
        <w:rPr>
          <w:b/>
          <w:bCs/>
        </w:rPr>
        <w:t xml:space="preserve">actual</w:t>
      </w:r>
      <w:r>
        <w:t xml:space="preserve"> </w:t>
      </w:r>
      <w:r>
        <w:t xml:space="preserve">transactions:</w:t>
      </w:r>
    </w:p>
    <w:p>
      <w:pPr>
        <w:pStyle w:val="Compact"/>
        <w:numPr>
          <w:ilvl w:val="0"/>
          <w:numId w:val="1006"/>
        </w:numPr>
      </w:pPr>
      <w:r>
        <w:rPr>
          <w:b/>
          <w:bCs/>
        </w:rPr>
        <w:t xml:space="preserve">United States:</w:t>
      </w:r>
      <w:r>
        <w:t xml:space="preserve"> </w:t>
      </w:r>
      <w:r>
        <w:t xml:space="preserve">the</w:t>
      </w:r>
      <w:r>
        <w:t xml:space="preserve"> </w:t>
      </w:r>
      <w:r>
        <w:rPr>
          <w:b/>
          <w:bCs/>
        </w:rPr>
        <w:t xml:space="preserve">Secured Overnight Financing Rate (SOFR)</w:t>
      </w:r>
      <w:r>
        <w:t xml:space="preserve"> </w:t>
      </w:r>
      <w:r>
        <w:t xml:space="preserve">- the rate on overnight repurchase agreements collateralized by Treasury securities.</w:t>
      </w:r>
    </w:p>
    <w:p>
      <w:pPr>
        <w:pStyle w:val="Compact"/>
        <w:numPr>
          <w:ilvl w:val="0"/>
          <w:numId w:val="1006"/>
        </w:numPr>
      </w:pPr>
      <w:r>
        <w:rPr>
          <w:b/>
          <w:bCs/>
        </w:rPr>
        <w:t xml:space="preserve">United Kingdom:</w:t>
      </w:r>
      <w:r>
        <w:t xml:space="preserve"> </w:t>
      </w:r>
      <w:r>
        <w:t xml:space="preserve">SONIA (Sterling Overnight Index Average).</w:t>
      </w:r>
    </w:p>
    <w:p>
      <w:pPr>
        <w:pStyle w:val="Compact"/>
        <w:numPr>
          <w:ilvl w:val="0"/>
          <w:numId w:val="1006"/>
        </w:numPr>
      </w:pPr>
      <w:r>
        <w:rPr>
          <w:b/>
          <w:bCs/>
        </w:rPr>
        <w:t xml:space="preserve">Japan:</w:t>
      </w:r>
      <w:r>
        <w:t xml:space="preserve"> </w:t>
      </w:r>
      <w:r>
        <w:t xml:space="preserve">TONA (Tokyo Overnight Average Rate).</w:t>
      </w:r>
    </w:p>
    <w:p>
      <w:pPr>
        <w:pStyle w:val="Compact"/>
        <w:numPr>
          <w:ilvl w:val="0"/>
          <w:numId w:val="1006"/>
        </w:numPr>
      </w:pPr>
      <w:r>
        <w:rPr>
          <w:b/>
          <w:bCs/>
        </w:rPr>
        <w:t xml:space="preserve">Euro area:</w:t>
      </w:r>
      <w:r>
        <w:t xml:space="preserve"> </w:t>
      </w:r>
      <w:r>
        <w:t xml:space="preserve">ESTER (Euro Short-Term Rate).</w:t>
      </w:r>
    </w:p>
    <w:p>
      <w:pPr>
        <w:pStyle w:val="FirstParagraph"/>
      </w:pPr>
      <w:r>
        <w:t xml:space="preserve">Unlike SOFR, several of these are unsecured, but as very short-term loans among highly rated banks they carry minimal credit risk. Because the new benchmarks are overnight rates, longer-term versions require averaging (e.g., the New York Fed publishes 30-, 90-, and 180-day SOFR averages).</w:t>
      </w:r>
    </w:p>
    <w:bookmarkEnd w:id="30"/>
    <w:bookmarkStart w:id="35" w:name="yields-on-money-market-instruments"/>
    <w:p>
      <w:pPr>
        <w:pStyle w:val="Heading2"/>
      </w:pPr>
      <w:r>
        <w:t xml:space="preserve">2.1.10 Yields on Money Market Instruments</w:t>
      </w:r>
    </w:p>
    <w:p>
      <w:pPr>
        <w:pStyle w:val="FirstParagraph"/>
      </w:pPr>
      <w:r>
        <w:t xml:space="preserve">Most money market securities are low risk but</w:t>
      </w:r>
      <w:r>
        <w:t xml:space="preserve"> </w:t>
      </w:r>
      <w:r>
        <w:rPr>
          <w:b/>
          <w:bCs/>
        </w:rPr>
        <w:t xml:space="preserve">not risk-free</w:t>
      </w:r>
      <w:r>
        <w:t xml:space="preserve">. They promise yields above default-free T-bills partly because of greater risk, and partly because investors accept lower yields on the most liquid instruments (like T-bills). Figure 2.2 shows that federal funds have consistently offered a yield premium over T-bills, and that this premium</w:t>
      </w:r>
      <w:r>
        <w:t xml:space="preserve"> </w:t>
      </w:r>
      <w:r>
        <w:rPr>
          <w:b/>
          <w:bCs/>
        </w:rPr>
        <w:t xml:space="preserve">widens during crises</w:t>
      </w:r>
      <w:r>
        <w:t xml:space="preserve"> </w:t>
      </w:r>
      <w:r>
        <w:t xml:space="preserve">- the OPEC shocks, the 1987 crash, the 1998 collapse of Long-Term Capital Management, and the 2008-2009 financial crisis. The related</w:t>
      </w:r>
      <w:r>
        <w:t xml:space="preserve"> </w:t>
      </w:r>
      <w:r>
        <w:rPr>
          <w:b/>
          <w:bCs/>
        </w:rPr>
        <w:t xml:space="preserve">TED spread</w:t>
      </w:r>
      <w:r>
        <w:t xml:space="preserve"> </w:t>
      </w:r>
      <w:r>
        <w:t xml:space="preserve">(LIBOR minus the T-bill rate) also spiked during the financial crisis and again at the onset of the COVID-19 pandemic in 2020.</w:t>
      </w:r>
    </w:p>
    <w:tbl>
      <w:tblPr>
        <w:tblStyle w:val="Table"/>
        <w:tblW w:type="pct" w:w="5000"/>
        <w:tblLayout w:type="fixed"/>
        <w:tblLook w:firstRow="0" w:lastRow="0" w:firstColumn="0" w:lastColumn="0" w:noHBand="0" w:noVBand="0" w:val="0000"/>
      </w:tblPr>
      <w:tblGrid>
        <w:gridCol w:w="7920"/>
      </w:tblGrid>
      <w:tr>
        <w:tc>
          <w:tcPr/>
          <w:bookmarkStart w:id="34" w:name="fig-funds-spread"/>
          <w:p>
            <w:pPr>
              <w:pStyle w:val="Compact"/>
              <w:jc w:val="center"/>
            </w:pPr>
            <w:r>
              <w:drawing>
                <wp:inline>
                  <wp:extent cx="4533900" cy="3080726"/>
                  <wp:effectExtent b="0" l="0" r="0" t="0"/>
                  <wp:docPr descr="" title="" id="32" name="Picture"/>
                  <a:graphic>
                    <a:graphicData uri="http://schemas.openxmlformats.org/drawingml/2006/picture">
                      <pic:pic>
                        <pic:nvPicPr>
                          <pic:cNvPr descr="../assets/images/Ch02/Figure_2_2_funds_vs_tbill.png" id="33" name="Picture"/>
                          <pic:cNvPicPr>
                            <a:picLocks noChangeArrowheads="1" noChangeAspect="1"/>
                          </pic:cNvPicPr>
                        </pic:nvPicPr>
                        <pic:blipFill>
                          <a:blip r:embed="rId31"/>
                          <a:stretch>
                            <a:fillRect/>
                          </a:stretch>
                        </pic:blipFill>
                        <pic:spPr bwMode="auto">
                          <a:xfrm>
                            <a:off x="0" y="0"/>
                            <a:ext cx="4533900" cy="30807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Figure 2.2 - Spread between the federal funds rate and the T-bill rate.</w:t>
            </w:r>
          </w:p>
          <w:bookmarkEnd w:id="34"/>
        </w:tc>
      </w:tr>
    </w:tbl>
    <w:p>
      <w:pPr>
        <w:pStyle w:val="BodyText"/>
      </w:pPr>
      <w:r>
        <w:t xml:space="preserve">Money market yields are not always directly comparable because quotes differ in (1) whether the return is figured on par value versus investment value, (2) whether a 360- or 365-day year is assumed, and (3) simple versus compound interest. The table below summarizes how each instrument is quoted.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Money Market Instrument</w:t>
            </w:r>
          </w:p>
        </w:tc>
        <w:tc>
          <w:tcPr/>
          <w:p>
            <w:pPr>
              <w:pStyle w:val="Compact"/>
            </w:pPr>
            <w:r>
              <w:t xml:space="preserve">Instrument Yield</w:t>
            </w:r>
          </w:p>
        </w:tc>
      </w:tr>
      <w:tr>
        <w:tc>
          <w:tcPr/>
          <w:p>
            <w:pPr>
              <w:pStyle w:val="Compact"/>
            </w:pPr>
            <w:r>
              <w:t xml:space="preserve">Treasury Bills</w:t>
            </w:r>
          </w:p>
        </w:tc>
        <w:tc>
          <w:tcPr/>
          <w:p>
            <w:pPr>
              <w:pStyle w:val="Compact"/>
            </w:pPr>
            <w:r>
              <w:t xml:space="preserve">Discount</w:t>
            </w:r>
          </w:p>
        </w:tc>
      </w:tr>
      <w:tr>
        <w:tc>
          <w:tcPr/>
          <w:p>
            <w:pPr>
              <w:pStyle w:val="Compact"/>
            </w:pPr>
            <w:r>
              <w:t xml:space="preserve">Certificates of Deposit</w:t>
            </w:r>
          </w:p>
        </w:tc>
        <w:tc>
          <w:tcPr/>
          <w:p>
            <w:pPr>
              <w:pStyle w:val="Compact"/>
            </w:pPr>
            <w:r>
              <w:t xml:space="preserve">Bond Equivalent Yield</w:t>
            </w:r>
          </w:p>
        </w:tc>
      </w:tr>
      <w:tr>
        <w:tc>
          <w:tcPr/>
          <w:p>
            <w:pPr>
              <w:pStyle w:val="Compact"/>
            </w:pPr>
            <w:r>
              <w:t xml:space="preserve">Commercial Paper</w:t>
            </w:r>
          </w:p>
        </w:tc>
        <w:tc>
          <w:tcPr/>
          <w:p>
            <w:pPr>
              <w:pStyle w:val="Compact"/>
            </w:pPr>
            <w:r>
              <w:t xml:space="preserve">Discount</w:t>
            </w:r>
          </w:p>
        </w:tc>
      </w:tr>
      <w:tr>
        <w:tc>
          <w:tcPr/>
          <w:p>
            <w:pPr>
              <w:pStyle w:val="Compact"/>
            </w:pPr>
            <w:r>
              <w:t xml:space="preserve">Bankers’ Acceptances</w:t>
            </w:r>
          </w:p>
        </w:tc>
        <w:tc>
          <w:tcPr/>
          <w:p>
            <w:pPr>
              <w:pStyle w:val="Compact"/>
            </w:pPr>
            <w:r>
              <w:t xml:space="preserve">Discount</w:t>
            </w:r>
          </w:p>
        </w:tc>
      </w:tr>
      <w:tr>
        <w:tc>
          <w:tcPr/>
          <w:p>
            <w:pPr>
              <w:pStyle w:val="Compact"/>
            </w:pPr>
            <w:r>
              <w:t xml:space="preserve">Eurodollars</w:t>
            </w:r>
          </w:p>
        </w:tc>
        <w:tc>
          <w:tcPr/>
          <w:p>
            <w:pPr>
              <w:pStyle w:val="Compact"/>
            </w:pPr>
            <w:r>
              <w:t xml:space="preserve">Bond Equivalent Yield</w:t>
            </w:r>
          </w:p>
        </w:tc>
      </w:tr>
      <w:tr>
        <w:tc>
          <w:tcPr/>
          <w:p>
            <w:pPr>
              <w:pStyle w:val="Compact"/>
            </w:pPr>
            <w:r>
              <w:t xml:space="preserve">Federal Funds</w:t>
            </w:r>
          </w:p>
        </w:tc>
        <w:tc>
          <w:tcPr/>
          <w:p>
            <w:pPr>
              <w:pStyle w:val="Compact"/>
            </w:pPr>
            <w:r>
              <w:t xml:space="preserve">Bond Equivalent Yield</w:t>
            </w:r>
          </w:p>
        </w:tc>
      </w:tr>
      <w:tr>
        <w:tc>
          <w:tcPr/>
          <w:p>
            <w:pPr>
              <w:pStyle w:val="Compact"/>
            </w:pPr>
            <w:r>
              <w:t xml:space="preserve">Repurchase Agreements</w:t>
            </w:r>
          </w:p>
        </w:tc>
        <w:tc>
          <w:tcPr/>
          <w:p>
            <w:pPr>
              <w:pStyle w:val="Compact"/>
            </w:pPr>
            <w:r>
              <w:t xml:space="preserve">Discount</w:t>
            </w:r>
          </w:p>
        </w:tc>
      </w:tr>
      <w:tr>
        <w:tc>
          <w:tcPr/>
          <w:p>
            <w:pPr>
              <w:pStyle w:val="Compact"/>
            </w:pPr>
            <w:r>
              <w:t xml:space="preserve">Reverse RPs</w:t>
            </w:r>
          </w:p>
        </w:tc>
        <w:tc>
          <w:tcPr/>
          <w:p>
            <w:pPr>
              <w:pStyle w:val="Compact"/>
            </w:pPr>
            <w:r>
              <w:t xml:space="preserve">Discount</w:t>
            </w:r>
          </w:p>
        </w:tc>
      </w:tr>
    </w:tbl>
    <w:bookmarkEnd w:id="35"/>
    <w:bookmarkStart w:id="39" w:name="money-market-funds"/>
    <w:p>
      <w:pPr>
        <w:pStyle w:val="Heading2"/>
      </w:pPr>
      <w:r>
        <w:t xml:space="preserve">2.1.11 Money Market Funds</w:t>
      </w:r>
    </w:p>
    <w:p>
      <w:pPr>
        <w:pStyle w:val="FirstParagraph"/>
      </w:pPr>
      <w:r>
        <w:rPr>
          <w:b/>
          <w:bCs/>
        </w:rPr>
        <w:t xml:space="preserve">Money market funds</w:t>
      </w:r>
      <w:r>
        <w:t xml:space="preserve"> </w:t>
      </w:r>
      <w:r>
        <w:t xml:space="preserve">are mutual funds that invest in money market instruments; in 2022 they managed more than $5 trillion. They usually pose very low risk, but the financial crisis was a traumatic shock. Investors now distinguish between:</w:t>
      </w:r>
    </w:p>
    <w:p>
      <w:pPr>
        <w:pStyle w:val="Compact"/>
        <w:numPr>
          <w:ilvl w:val="0"/>
          <w:numId w:val="1007"/>
        </w:numPr>
      </w:pPr>
      <w:r>
        <w:rPr>
          <w:b/>
          <w:bCs/>
        </w:rPr>
        <w:t xml:space="preserve">Government funds</w:t>
      </w:r>
      <w:r>
        <w:t xml:space="preserve"> </w:t>
      </w:r>
      <w:r>
        <w:t xml:space="preserve">- holding short-term U.S. Treasury or agency securities.</w:t>
      </w:r>
    </w:p>
    <w:p>
      <w:pPr>
        <w:pStyle w:val="Compact"/>
        <w:numPr>
          <w:ilvl w:val="0"/>
          <w:numId w:val="1007"/>
        </w:numPr>
      </w:pPr>
      <w:r>
        <w:rPr>
          <w:b/>
          <w:bCs/>
        </w:rPr>
        <w:t xml:space="preserve">Prime funds</w:t>
      </w:r>
      <w:r>
        <w:t xml:space="preserve"> </w:t>
      </w:r>
      <w:r>
        <w:t xml:space="preserve">- also holding other instruments such as commercial paper or CDs; considered slightly riskier and offering higher yields.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On the Market Front - Money Market Funds and the Financial Crisis of 2008-2009</w:t>
            </w:r>
          </w:p>
          <w:p>
            <w:pPr>
              <w:pStyle w:val="BodyText"/>
            </w:pPr>
            <w:pPr>
              <w:spacing w:after="16"/>
            </w:pPr>
            <w:r>
              <w:t xml:space="preserve">Money market funds typically maintain a share value of exactly $1 and pass all earnings through as interest, so investors treat them as near-substitutes for bank accounts. Until 2008 only one fund had</w:t>
            </w:r>
            <w:r>
              <w:t xml:space="preserve"> </w:t>
            </w:r>
            <w:r>
              <w:t xml:space="preserve">“</w:t>
            </w:r>
            <w:r>
              <w:rPr>
                <w:b/>
                <w:bCs/>
              </w:rPr>
              <w:t xml:space="preserve">broken the buck</w:t>
            </w:r>
            <w:r>
              <w:t xml:space="preserve">”</w:t>
            </w:r>
            <w:r>
              <w:t xml:space="preserve"> </w:t>
            </w:r>
            <w:r>
              <w:t xml:space="preserve">(fallen below $1 per share). When Lehman Brothers filed for bankruptcy on September 15, 2008, funds holding its commercial paper took large losses, and the next day the</w:t>
            </w:r>
            <w:r>
              <w:t xml:space="preserve"> </w:t>
            </w:r>
            <w:r>
              <w:rPr>
                <w:b/>
                <w:bCs/>
              </w:rPr>
              <w:t xml:space="preserve">Reserve Primary Fund</w:t>
            </w:r>
            <w:r>
              <w:t xml:space="preserve"> </w:t>
            </w:r>
            <w:r>
              <w:t xml:space="preserve">broke the buck at $0.97 per share. A run ensued. The U.S. Treasury temporarily offered to insure money market funds, which calmed the run but put the government on the hook for up to $3 trillion. Subsequent SEC reforms required institutional funds to</w:t>
            </w:r>
            <w:r>
              <w:t xml:space="preserve"> </w:t>
            </w:r>
            <w:r>
              <w:t xml:space="preserve">“</w:t>
            </w:r>
            <w:r>
              <w:rPr>
                <w:b/>
                <w:bCs/>
              </w:rPr>
              <w:t xml:space="preserve">float</w:t>
            </w:r>
            <w:r>
              <w:t xml:space="preserve">”</w:t>
            </w:r>
            <w:r>
              <w:t xml:space="preserve"> </w:t>
            </w:r>
            <w:r>
              <w:t xml:space="preserve">their share prices and, in 2023, added liquidity-fee triggers and higher minimums for very short-maturity holdings.</w:t>
            </w:r>
          </w:p>
        </w:tc>
      </w:tr>
    </w:tbl>
    <w:p>
      <w:r>
        <w:pict>
          <v:rect style="width:0;height:1.5pt" o:hralign="center" o:hrstd="t" o:hr="t"/>
        </w:pict>
      </w:r>
    </w:p>
    <w:bookmarkEnd w:id="39"/>
    <w:bookmarkEnd w:id="40"/>
    <w:bookmarkStart w:id="71" w:name="the-bond-market"/>
    <w:p>
      <w:pPr>
        <w:pStyle w:val="Heading1"/>
      </w:pPr>
      <w:r>
        <w:t xml:space="preserve">2.2 The Bond Market</w:t>
      </w:r>
    </w:p>
    <w:p>
      <w:pPr>
        <w:pStyle w:val="FirstParagraph"/>
      </w:pPr>
      <w:r>
        <w:t xml:space="preserve">The</w:t>
      </w:r>
      <w:r>
        <w:t xml:space="preserve"> </w:t>
      </w:r>
      <w:r>
        <w:rPr>
          <w:b/>
          <w:bCs/>
        </w:rPr>
        <w:t xml:space="preserve">bond market</w:t>
      </w:r>
      <w:r>
        <w:t xml:space="preserve"> </w:t>
      </w:r>
      <w:r>
        <w:t xml:space="preserve">is composed of longer-term borrowing instruments than those of the money market: Treasury notes and bonds, corporate bonds, municipal bonds, mortgage securities, and federal agency debt. These are often called the</w:t>
      </w:r>
      <w:r>
        <w:t xml:space="preserve"> </w:t>
      </w:r>
      <w:r>
        <w:rPr>
          <w:b/>
          <w:bCs/>
        </w:rPr>
        <w:t xml:space="preserve">fixed-income capital market</w:t>
      </w:r>
      <w:r>
        <w:t xml:space="preserve"> </w:t>
      </w:r>
      <w:r>
        <w:t xml:space="preserve">because most promise either a fixed income stream or one set by a formula - though in practice the term</w:t>
      </w:r>
      <w:r>
        <w:t xml:space="preserve"> </w:t>
      </w:r>
      <w:r>
        <w:t xml:space="preserve">“fixed income”</w:t>
      </w:r>
      <w:r>
        <w:t xml:space="preserve"> </w:t>
      </w:r>
      <w:r>
        <w:t xml:space="preserve">is imperfect, so we simply call them debt instruments or bonds.</w:t>
      </w:r>
    </w:p>
    <w:bookmarkStart w:id="44" w:name="treasury-notes-and-bonds"/>
    <w:p>
      <w:pPr>
        <w:pStyle w:val="Heading2"/>
      </w:pPr>
      <w:r>
        <w:t xml:space="preserve">2.2.1 Treasury Notes and Bonds</w:t>
      </w:r>
    </w:p>
    <w:p>
      <w:pPr>
        <w:pStyle w:val="FirstParagraph"/>
      </w:pPr>
      <w:r>
        <w:t xml:space="preserve">The U.S. government borrows long-term largely by issuing</w:t>
      </w:r>
      <w:r>
        <w:t xml:space="preserve"> </w:t>
      </w:r>
      <w:r>
        <w:rPr>
          <w:b/>
          <w:bCs/>
        </w:rPr>
        <w:t xml:space="preserve">Treasury notes</w:t>
      </w:r>
      <w:r>
        <w:t xml:space="preserve"> </w:t>
      </w:r>
      <w:r>
        <w:t xml:space="preserve">and</w:t>
      </w:r>
      <w:r>
        <w:t xml:space="preserve"> </w:t>
      </w:r>
      <w:r>
        <w:rPr>
          <w:b/>
          <w:bCs/>
        </w:rPr>
        <w:t xml:space="preserve">Treasury bonds</w:t>
      </w:r>
      <w:r>
        <w:t xml:space="preserve">:</w:t>
      </w:r>
    </w:p>
    <w:p>
      <w:pPr>
        <w:pStyle w:val="Compact"/>
        <w:numPr>
          <w:ilvl w:val="0"/>
          <w:numId w:val="1008"/>
        </w:numPr>
      </w:pPr>
      <w:r>
        <w:rPr>
          <w:b/>
          <w:bCs/>
        </w:rPr>
        <w:t xml:space="preserve">T-notes:</w:t>
      </w:r>
      <w:r>
        <w:t xml:space="preserve"> </w:t>
      </w:r>
      <w:r>
        <w:t xml:space="preserve">original maturities up to 10 years.</w:t>
      </w:r>
    </w:p>
    <w:p>
      <w:pPr>
        <w:pStyle w:val="Compact"/>
        <w:numPr>
          <w:ilvl w:val="0"/>
          <w:numId w:val="1008"/>
        </w:numPr>
      </w:pPr>
      <w:r>
        <w:rPr>
          <w:b/>
          <w:bCs/>
        </w:rPr>
        <w:t xml:space="preserve">T-bonds:</w:t>
      </w:r>
      <w:r>
        <w:t xml:space="preserve"> </w:t>
      </w:r>
      <w:r>
        <w:t xml:space="preserve">original maturities of 20 to 30 years.</w:t>
      </w:r>
    </w:p>
    <w:p>
      <w:pPr>
        <w:pStyle w:val="Compact"/>
        <w:numPr>
          <w:ilvl w:val="0"/>
          <w:numId w:val="1008"/>
        </w:numPr>
      </w:pPr>
      <w:r>
        <w:t xml:space="preserve">Both may be issued in $100 increments but commonly trade in $1,000 denominations, and both make</w:t>
      </w:r>
      <w:r>
        <w:t xml:space="preserve"> </w:t>
      </w:r>
      <w:r>
        <w:rPr>
          <w:b/>
          <w:bCs/>
        </w:rPr>
        <w:t xml:space="preserve">semiannual coupon payments</w:t>
      </w:r>
      <w:r>
        <w:t xml:space="preserve">.</w:t>
      </w:r>
    </w:p>
    <w:p>
      <w:pPr>
        <w:pStyle w:val="FirstParagraph"/>
      </w:pPr>
      <w:r>
        <w:rPr>
          <w:b/>
          <w:bCs/>
        </w:rPr>
        <w:t xml:space="preserve">Figure 2.3 - Listing of Treasury bond issues</w:t>
      </w:r>
      <w:r>
        <w:t xml:space="preserve"> </w:t>
      </w:r>
      <w:r>
        <w:t xml:space="preserve">(Sept. 30, 2022):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Maturity</w:t>
            </w:r>
          </w:p>
        </w:tc>
        <w:tc>
          <w:tcPr/>
          <w:p>
            <w:pPr>
              <w:pStyle w:val="Compact"/>
            </w:pPr>
            <w:r>
              <w:t xml:space="preserve">Coupon</w:t>
            </w:r>
          </w:p>
        </w:tc>
        <w:tc>
          <w:tcPr/>
          <w:p>
            <w:pPr>
              <w:pStyle w:val="Compact"/>
            </w:pPr>
            <w:r>
              <w:t xml:space="preserve">Bid</w:t>
            </w:r>
          </w:p>
        </w:tc>
        <w:tc>
          <w:tcPr/>
          <w:p>
            <w:pPr>
              <w:pStyle w:val="Compact"/>
            </w:pPr>
            <w:r>
              <w:t xml:space="preserve">Asked</w:t>
            </w:r>
          </w:p>
        </w:tc>
        <w:tc>
          <w:tcPr/>
          <w:p>
            <w:pPr>
              <w:pStyle w:val="Compact"/>
            </w:pPr>
            <w:r>
              <w:t xml:space="preserve">Change</w:t>
            </w:r>
          </w:p>
        </w:tc>
        <w:tc>
          <w:tcPr/>
          <w:p>
            <w:pPr>
              <w:pStyle w:val="Compact"/>
            </w:pPr>
            <w:r>
              <w:t xml:space="preserve">Asked Yield to Maturity</w:t>
            </w:r>
          </w:p>
        </w:tc>
      </w:tr>
      <w:tr>
        <w:tc>
          <w:tcPr/>
          <w:p>
            <w:pPr>
              <w:pStyle w:val="Compact"/>
            </w:pPr>
            <w:r>
              <w:t xml:space="preserve">15-Nov-2022</w:t>
            </w:r>
          </w:p>
        </w:tc>
        <w:tc>
          <w:tcPr/>
          <w:p>
            <w:pPr>
              <w:pStyle w:val="Compact"/>
            </w:pPr>
            <w:r>
              <w:t xml:space="preserve">1.625</w:t>
            </w:r>
          </w:p>
        </w:tc>
        <w:tc>
          <w:tcPr/>
          <w:p>
            <w:pPr>
              <w:pStyle w:val="Compact"/>
            </w:pPr>
            <w:r>
              <w:t xml:space="preserve">99.8250</w:t>
            </w:r>
          </w:p>
        </w:tc>
        <w:tc>
          <w:tcPr/>
          <w:p>
            <w:pPr>
              <w:pStyle w:val="Compact"/>
            </w:pPr>
            <w:r>
              <w:t xml:space="preserve">99.8438</w:t>
            </w:r>
          </w:p>
        </w:tc>
        <w:tc>
          <w:tcPr/>
          <w:p>
            <w:pPr>
              <w:pStyle w:val="Compact"/>
            </w:pPr>
            <w:r>
              <w:t xml:space="preserve">0.004</w:t>
            </w:r>
          </w:p>
        </w:tc>
        <w:tc>
          <w:tcPr/>
          <w:p>
            <w:pPr>
              <w:pStyle w:val="Compact"/>
            </w:pPr>
            <w:r>
              <w:t xml:space="preserve">2.965</w:t>
            </w:r>
          </w:p>
        </w:tc>
      </w:tr>
      <w:tr>
        <w:tc>
          <w:tcPr/>
          <w:p>
            <w:pPr>
              <w:pStyle w:val="Compact"/>
            </w:pPr>
            <w:r>
              <w:t xml:space="preserve">15-Apr-2023</w:t>
            </w:r>
          </w:p>
        </w:tc>
        <w:tc>
          <w:tcPr/>
          <w:p>
            <w:pPr>
              <w:pStyle w:val="Compact"/>
            </w:pPr>
            <w:r>
              <w:t xml:space="preserve">0.25</w:t>
            </w:r>
          </w:p>
        </w:tc>
        <w:tc>
          <w:tcPr/>
          <w:p>
            <w:pPr>
              <w:pStyle w:val="Compact"/>
            </w:pPr>
            <w:r>
              <w:t xml:space="preserve">98.0500</w:t>
            </w:r>
          </w:p>
        </w:tc>
        <w:tc>
          <w:tcPr/>
          <w:p>
            <w:pPr>
              <w:pStyle w:val="Compact"/>
            </w:pPr>
            <w:r>
              <w:t xml:space="preserve">98.0688</w:t>
            </w:r>
          </w:p>
        </w:tc>
        <w:tc>
          <w:tcPr/>
          <w:p>
            <w:pPr>
              <w:pStyle w:val="Compact"/>
            </w:pPr>
            <w:r>
              <w:t xml:space="preserve">0.002</w:t>
            </w:r>
          </w:p>
        </w:tc>
        <w:tc>
          <w:tcPr/>
          <w:p>
            <w:pPr>
              <w:pStyle w:val="Compact"/>
            </w:pPr>
            <w:r>
              <w:t xml:space="preserve">3.946</w:t>
            </w:r>
          </w:p>
        </w:tc>
      </w:tr>
      <w:tr>
        <w:tc>
          <w:tcPr/>
          <w:p>
            <w:pPr>
              <w:pStyle w:val="Compact"/>
            </w:pPr>
            <w:r>
              <w:t xml:space="preserve">15-May-2025</w:t>
            </w:r>
          </w:p>
        </w:tc>
        <w:tc>
          <w:tcPr/>
          <w:p>
            <w:pPr>
              <w:pStyle w:val="Compact"/>
            </w:pPr>
            <w:r>
              <w:t xml:space="preserve">2.75</w:t>
            </w:r>
          </w:p>
        </w:tc>
        <w:tc>
          <w:tcPr/>
          <w:p>
            <w:pPr>
              <w:pStyle w:val="Compact"/>
            </w:pPr>
            <w:r>
              <w:t xml:space="preserve">96.2875</w:t>
            </w:r>
          </w:p>
        </w:tc>
        <w:tc>
          <w:tcPr/>
          <w:p>
            <w:pPr>
              <w:pStyle w:val="Compact"/>
            </w:pPr>
            <w:r>
              <w:t xml:space="preserve">96.3000</w:t>
            </w:r>
          </w:p>
        </w:tc>
        <w:tc>
          <w:tcPr/>
          <w:p>
            <w:pPr>
              <w:pStyle w:val="Compact"/>
            </w:pPr>
            <w:r>
              <w:t xml:space="preserve">-0.018</w:t>
            </w:r>
          </w:p>
        </w:tc>
        <w:tc>
          <w:tcPr/>
          <w:p>
            <w:pPr>
              <w:pStyle w:val="Compact"/>
            </w:pPr>
            <w:r>
              <w:t xml:space="preserve">4.254</w:t>
            </w:r>
          </w:p>
        </w:tc>
      </w:tr>
      <w:tr>
        <w:tc>
          <w:tcPr/>
          <w:p>
            <w:pPr>
              <w:pStyle w:val="Compact"/>
            </w:pPr>
            <w:r>
              <w:t xml:space="preserve">15-Oct-2041</w:t>
            </w:r>
          </w:p>
        </w:tc>
        <w:tc>
          <w:tcPr/>
          <w:p>
            <w:pPr>
              <w:pStyle w:val="Compact"/>
            </w:pPr>
            <w:r>
              <w:t xml:space="preserve">1.75</w:t>
            </w:r>
          </w:p>
        </w:tc>
        <w:tc>
          <w:tcPr/>
          <w:p>
            <w:pPr>
              <w:pStyle w:val="Compact"/>
            </w:pPr>
            <w:r>
              <w:t xml:space="preserve">68.4500</w:t>
            </w:r>
          </w:p>
        </w:tc>
        <w:tc>
          <w:tcPr/>
          <w:p>
            <w:pPr>
              <w:pStyle w:val="Compact"/>
            </w:pPr>
            <w:r>
              <w:t xml:space="preserve">68.5125</w:t>
            </w:r>
          </w:p>
        </w:tc>
        <w:tc>
          <w:tcPr/>
          <w:p>
            <w:pPr>
              <w:pStyle w:val="Compact"/>
            </w:pPr>
            <w:r>
              <w:t xml:space="preserve">-0.870</w:t>
            </w:r>
          </w:p>
        </w:tc>
        <w:tc>
          <w:tcPr/>
          <w:p>
            <w:pPr>
              <w:pStyle w:val="Compact"/>
            </w:pPr>
            <w:r>
              <w:t xml:space="preserve">4.178</w:t>
            </w:r>
          </w:p>
        </w:tc>
      </w:tr>
      <w:tr>
        <w:tc>
          <w:tcPr/>
          <w:p>
            <w:pPr>
              <w:pStyle w:val="Compact"/>
            </w:pPr>
            <w:r>
              <w:t xml:space="preserve">15-Oct-2041</w:t>
            </w:r>
          </w:p>
        </w:tc>
        <w:tc>
          <w:tcPr/>
          <w:p>
            <w:pPr>
              <w:pStyle w:val="Compact"/>
            </w:pPr>
            <w:r>
              <w:t xml:space="preserve">3.75</w:t>
            </w:r>
          </w:p>
        </w:tc>
        <w:tc>
          <w:tcPr/>
          <w:p>
            <w:pPr>
              <w:pStyle w:val="Compact"/>
            </w:pPr>
            <w:r>
              <w:t xml:space="preserve">95.9188</w:t>
            </w:r>
          </w:p>
        </w:tc>
        <w:tc>
          <w:tcPr/>
          <w:p>
            <w:pPr>
              <w:pStyle w:val="Compact"/>
            </w:pPr>
            <w:r>
              <w:t xml:space="preserve">95.9813</w:t>
            </w:r>
          </w:p>
        </w:tc>
        <w:tc>
          <w:tcPr/>
          <w:p>
            <w:pPr>
              <w:pStyle w:val="Compact"/>
            </w:pPr>
            <w:r>
              <w:t xml:space="preserve">-0.930</w:t>
            </w:r>
          </w:p>
        </w:tc>
        <w:tc>
          <w:tcPr/>
          <w:p>
            <w:pPr>
              <w:pStyle w:val="Compact"/>
            </w:pPr>
            <w:r>
              <w:t xml:space="preserve">4.057</w:t>
            </w:r>
          </w:p>
        </w:tc>
      </w:tr>
      <w:tr>
        <w:tc>
          <w:tcPr/>
          <w:p>
            <w:pPr>
              <w:pStyle w:val="Compact"/>
            </w:pPr>
            <w:r>
              <w:t xml:space="preserve">15-May-2052</w:t>
            </w:r>
          </w:p>
        </w:tc>
        <w:tc>
          <w:tcPr/>
          <w:p>
            <w:pPr>
              <w:pStyle w:val="Compact"/>
            </w:pPr>
            <w:r>
              <w:t xml:space="preserve">2.875</w:t>
            </w:r>
          </w:p>
        </w:tc>
        <w:tc>
          <w:tcPr/>
          <w:p>
            <w:pPr>
              <w:pStyle w:val="Compact"/>
            </w:pPr>
            <w:r>
              <w:t xml:space="preserve">83.8875</w:t>
            </w:r>
          </w:p>
        </w:tc>
        <w:tc>
          <w:tcPr/>
          <w:p>
            <w:pPr>
              <w:pStyle w:val="Compact"/>
            </w:pPr>
            <w:r>
              <w:t xml:space="preserve">83.9500</w:t>
            </w:r>
          </w:p>
        </w:tc>
        <w:tc>
          <w:tcPr/>
          <w:p>
            <w:pPr>
              <w:pStyle w:val="Compact"/>
            </w:pPr>
            <w:r>
              <w:t xml:space="preserve">-0.986</w:t>
            </w:r>
          </w:p>
        </w:tc>
        <w:tc>
          <w:tcPr/>
          <w:p>
            <w:pPr>
              <w:pStyle w:val="Compact"/>
            </w:pPr>
            <w:r>
              <w:t xml:space="preserve">3.780</w:t>
            </w:r>
          </w:p>
        </w:tc>
      </w:tr>
    </w:tbl>
    <w:p>
      <w:pPr>
        <w:pStyle w:val="BodyText"/>
      </w:pPr>
      <w:r>
        <w:t xml:space="preserve">Prices are quoted as a</w:t>
      </w:r>
      <w:r>
        <w:t xml:space="preserve"> </w:t>
      </w:r>
      <w:r>
        <w:rPr>
          <w:b/>
          <w:bCs/>
        </w:rPr>
        <w:t xml:space="preserve">percentage of par</w:t>
      </w:r>
      <w:r>
        <w:t xml:space="preserve">. For the highlighted 1.75% bond maturing October 2041, a bid of 68.45 means 68.45% of par, or $684.50 on a $1,000 bond; the asked price of 68.5125 means $685.125. The</w:t>
      </w:r>
      <w:r>
        <w:t xml:space="preserve"> </w:t>
      </w:r>
      <w:r>
        <w:rPr>
          <w:b/>
          <w:bCs/>
        </w:rPr>
        <w:t xml:space="preserve">change</w:t>
      </w:r>
      <w:r>
        <w:t xml:space="preserve"> </w:t>
      </w:r>
      <w:r>
        <w:t xml:space="preserve">of -0.870 means the asked price fell .87% of par from the prior day. The</w:t>
      </w:r>
      <w:r>
        <w:t xml:space="preserve"> </w:t>
      </w:r>
      <w:r>
        <w:rPr>
          <w:b/>
          <w:bCs/>
        </w:rPr>
        <w:t xml:space="preserve">yield to maturity (YTM)</w:t>
      </w:r>
      <w:r>
        <w:t xml:space="preserve"> </w:t>
      </w:r>
      <w:r>
        <w:t xml:space="preserve">in the last column is the annualized rate of return to an investor who buys at the asked price and holds to maturity, accounting for both coupon income and the gain to par (covered in detail in Chapter 10).</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2.1</w:t>
            </w:r>
            <w:r>
              <w:t xml:space="preserve"> </w:t>
            </w:r>
            <w:r>
              <w:t xml:space="preserve">- Using Figure 2.3, what were the bid price, asked price, and yield to maturity of the 2.75% coupon May 2025 Treasury bond? What was its asked price the previous day?</w:t>
            </w:r>
            <w:r>
              <w:t xml:space="preserve"> </w:t>
            </w:r>
            <w:r>
              <w:rPr>
                <w:i/>
                <w:iCs/>
              </w:rPr>
              <w:t xml:space="preserve">(Solution at the end.)</w:t>
            </w:r>
          </w:p>
        </w:tc>
      </w:tr>
    </w:tbl>
    <w:bookmarkEnd w:id="44"/>
    <w:bookmarkStart w:id="45" w:name="inflation-protected-treasury-bonds"/>
    <w:p>
      <w:pPr>
        <w:pStyle w:val="Heading2"/>
      </w:pPr>
      <w:r>
        <w:t xml:space="preserve">2.2.2 Inflation-Protected Treasury Bonds</w:t>
      </w:r>
    </w:p>
    <w:p>
      <w:pPr>
        <w:pStyle w:val="FirstParagraph"/>
      </w:pPr>
      <w:r>
        <w:t xml:space="preserve">The least-risky place to start a portfolio is at the government-debt end of the spectrum, and many governments issue bonds linked to the</w:t>
      </w:r>
      <w:r>
        <w:t xml:space="preserve"> </w:t>
      </w:r>
      <w:r>
        <w:rPr>
          <w:b/>
          <w:bCs/>
        </w:rPr>
        <w:t xml:space="preserve">cost of living</w:t>
      </w:r>
      <w:r>
        <w:t xml:space="preserve"> </w:t>
      </w:r>
      <w:r>
        <w:t xml:space="preserve">to help investors hedge inflation. In the U.S. these are</w:t>
      </w:r>
      <w:r>
        <w:t xml:space="preserve"> </w:t>
      </w:r>
      <w:r>
        <w:rPr>
          <w:b/>
          <w:bCs/>
        </w:rPr>
        <w:t xml:space="preserve">TIPS (Treasury Inflation Protected Securities)</w:t>
      </w:r>
      <w:r>
        <w:t xml:space="preserve">: the principal is adjusted in proportion to increases in the</w:t>
      </w:r>
      <w:r>
        <w:t xml:space="preserve"> </w:t>
      </w:r>
      <w:r>
        <w:rPr>
          <w:b/>
          <w:bCs/>
        </w:rPr>
        <w:t xml:space="preserve">Consumer Price Index</w:t>
      </w:r>
      <w:r>
        <w:t xml:space="preserve">, so the bonds provide a constant stream of income in</w:t>
      </w:r>
      <w:r>
        <w:t xml:space="preserve"> </w:t>
      </w:r>
      <w:r>
        <w:rPr>
          <w:b/>
          <w:bCs/>
        </w:rPr>
        <w:t xml:space="preserve">real</w:t>
      </w:r>
      <w:r>
        <w:t xml:space="preserve"> </w:t>
      </w:r>
      <w:r>
        <w:t xml:space="preserve">(inflation-adjusted) dollars, and the real interest rate is risk-free if held to maturity. In quote sheets they are marked with a trailing</w:t>
      </w:r>
      <w:r>
        <w:t xml:space="preserve"> </w:t>
      </w:r>
      <w:r>
        <w:t xml:space="preserve">“i.”</w:t>
      </w:r>
    </w:p>
    <w:bookmarkEnd w:id="45"/>
    <w:bookmarkStart w:id="46" w:name="federal-agency-debt"/>
    <w:p>
      <w:pPr>
        <w:pStyle w:val="Heading2"/>
      </w:pPr>
      <w:r>
        <w:t xml:space="preserve">2.2.3 Federal Agency Debt</w:t>
      </w:r>
    </w:p>
    <w:p>
      <w:pPr>
        <w:pStyle w:val="FirstParagraph"/>
      </w:pPr>
      <w:r>
        <w:t xml:space="preserve">Some government agencies issue their own securities to channel credit to sectors Congress believes are underserved by private markets. The major mortgage-related agencies are the</w:t>
      </w:r>
      <w:r>
        <w:t xml:space="preserve"> </w:t>
      </w:r>
      <w:r>
        <w:rPr>
          <w:b/>
          <w:bCs/>
        </w:rPr>
        <w:t xml:space="preserve">Federal Home Loan Bank (FHLB)</w:t>
      </w:r>
      <w:r>
        <w:t xml:space="preserve">, the</w:t>
      </w:r>
      <w:r>
        <w:t xml:space="preserve"> </w:t>
      </w:r>
      <w:r>
        <w:rPr>
          <w:b/>
          <w:bCs/>
        </w:rPr>
        <w:t xml:space="preserve">Federal National Mortgage Association (FNMA, or Fannie Mae)</w:t>
      </w:r>
      <w:r>
        <w:t xml:space="preserve">, the</w:t>
      </w:r>
      <w:r>
        <w:t xml:space="preserve"> </w:t>
      </w:r>
      <w:r>
        <w:rPr>
          <w:b/>
          <w:bCs/>
        </w:rPr>
        <w:t xml:space="preserve">Government National Mortgage Association (GNMA, or Ginnie Mae)</w:t>
      </w:r>
      <w:r>
        <w:t xml:space="preserve">, and the</w:t>
      </w:r>
      <w:r>
        <w:t xml:space="preserve"> </w:t>
      </w:r>
      <w:r>
        <w:rPr>
          <w:b/>
          <w:bCs/>
        </w:rPr>
        <w:t xml:space="preserve">Federal Home Loan Mortgage Corporation (FHLMC, or Freddie Mac)</w:t>
      </w:r>
      <w:r>
        <w:t xml:space="preserve">.</w:t>
      </w:r>
    </w:p>
    <w:p>
      <w:pPr>
        <w:pStyle w:val="BodyText"/>
      </w:pPr>
      <w:r>
        <w:t xml:space="preserve">Although agency debt was never</w:t>
      </w:r>
      <w:r>
        <w:t xml:space="preserve"> </w:t>
      </w:r>
      <w:r>
        <w:rPr>
          <w:i/>
          <w:iCs/>
        </w:rPr>
        <w:t xml:space="preserve">explicitly</w:t>
      </w:r>
      <w:r>
        <w:t xml:space="preserve"> </w:t>
      </w:r>
      <w:r>
        <w:t xml:space="preserve">insured, markets long assumed the government would step in - a belief validated in September 2008, when Fannie Mae and Freddie Mac, on the brink of insolvency, were placed into</w:t>
      </w:r>
      <w:r>
        <w:t xml:space="preserve"> </w:t>
      </w:r>
      <w:r>
        <w:rPr>
          <w:b/>
          <w:bCs/>
        </w:rPr>
        <w:t xml:space="preserve">conservatorship</w:t>
      </w:r>
      <w:r>
        <w:t xml:space="preserve"> </w:t>
      </w:r>
      <w:r>
        <w:t xml:space="preserve">under the Federal Housing Finance Agency, and their bonds were made good.</w:t>
      </w:r>
    </w:p>
    <w:bookmarkEnd w:id="46"/>
    <w:bookmarkStart w:id="47" w:name="international-bonds"/>
    <w:p>
      <w:pPr>
        <w:pStyle w:val="Heading2"/>
      </w:pPr>
      <w:r>
        <w:t xml:space="preserve">2.2.4 International Bonds</w:t>
      </w:r>
    </w:p>
    <w:p>
      <w:pPr>
        <w:pStyle w:val="FirstParagraph"/>
      </w:pPr>
      <w:r>
        <w:t xml:space="preserve">Firms borrow abroad and investors buy foreign bonds through a thriving international capital market centered largely in London:</w:t>
      </w:r>
    </w:p>
    <w:p>
      <w:pPr>
        <w:pStyle w:val="Compact"/>
        <w:numPr>
          <w:ilvl w:val="0"/>
          <w:numId w:val="1009"/>
        </w:numPr>
      </w:pPr>
      <w:r>
        <w:t xml:space="preserve">A</w:t>
      </w:r>
      <w:r>
        <w:t xml:space="preserve"> </w:t>
      </w:r>
      <w:r>
        <w:rPr>
          <w:b/>
          <w:bCs/>
        </w:rPr>
        <w:t xml:space="preserve">Eurobond</w:t>
      </w:r>
      <w:r>
        <w:t xml:space="preserve"> </w:t>
      </w:r>
      <w:r>
        <w:t xml:space="preserve">is a bond denominated in a currency</w:t>
      </w:r>
      <w:r>
        <w:t xml:space="preserve"> </w:t>
      </w:r>
      <w:r>
        <w:rPr>
          <w:i/>
          <w:iCs/>
        </w:rPr>
        <w:t xml:space="preserve">other than</w:t>
      </w:r>
      <w:r>
        <w:t xml:space="preserve"> </w:t>
      </w:r>
      <w:r>
        <w:t xml:space="preserve">that of the country where it is issued (e.g., a dollar-denominated bond sold in Britain is a</w:t>
      </w:r>
      <w:r>
        <w:t xml:space="preserve"> </w:t>
      </w:r>
      <w:r>
        <w:rPr>
          <w:i/>
          <w:iCs/>
        </w:rPr>
        <w:t xml:space="preserve">Eurodollar bond</w:t>
      </w:r>
      <w:r>
        <w:t xml:space="preserve">; yen-denominated bonds sold outside Japan are</w:t>
      </w:r>
      <w:r>
        <w:t xml:space="preserve"> </w:t>
      </w:r>
      <w:r>
        <w:rPr>
          <w:i/>
          <w:iCs/>
        </w:rPr>
        <w:t xml:space="preserve">Euroyen bonds</w:t>
      </w:r>
      <w:r>
        <w:t xml:space="preserve">). Because</w:t>
      </w:r>
      <w:r>
        <w:t xml:space="preserve"> </w:t>
      </w:r>
      <w:r>
        <w:t xml:space="preserve">“Euro”</w:t>
      </w:r>
      <w:r>
        <w:t xml:space="preserve"> </w:t>
      </w:r>
      <w:r>
        <w:t xml:space="preserve">is confusing, think of these simply as international bonds.</w:t>
      </w:r>
    </w:p>
    <w:p>
      <w:pPr>
        <w:pStyle w:val="Compact"/>
        <w:numPr>
          <w:ilvl w:val="0"/>
          <w:numId w:val="1009"/>
        </w:numPr>
      </w:pPr>
      <w:r>
        <w:t xml:space="preserve">In contrast, some bonds are issued</w:t>
      </w:r>
      <w:r>
        <w:t xml:space="preserve"> </w:t>
      </w:r>
      <w:r>
        <w:rPr>
          <w:b/>
          <w:bCs/>
        </w:rPr>
        <w:t xml:space="preserve">in a foreign country but in the investor’s currency</w:t>
      </w:r>
      <w:r>
        <w:t xml:space="preserve">: a</w:t>
      </w:r>
      <w:r>
        <w:t xml:space="preserve"> </w:t>
      </w:r>
      <w:r>
        <w:rPr>
          <w:b/>
          <w:bCs/>
        </w:rPr>
        <w:t xml:space="preserve">Yankee bond</w:t>
      </w:r>
      <w:r>
        <w:t xml:space="preserve"> </w:t>
      </w:r>
      <w:r>
        <w:t xml:space="preserve">is a dollar-denominated bond sold in the U.S. by a non-U.S. issuer;</w:t>
      </w:r>
      <w:r>
        <w:t xml:space="preserve"> </w:t>
      </w:r>
      <w:r>
        <w:rPr>
          <w:b/>
          <w:bCs/>
        </w:rPr>
        <w:t xml:space="preserve">Samurai bonds</w:t>
      </w:r>
      <w:r>
        <w:t xml:space="preserve"> </w:t>
      </w:r>
      <w:r>
        <w:t xml:space="preserve">are yen-denominated bonds sold in Japan by non-Japanese issuers.</w:t>
      </w:r>
    </w:p>
    <w:bookmarkEnd w:id="47"/>
    <w:bookmarkStart w:id="60" w:name="municipal-bonds"/>
    <w:p>
      <w:pPr>
        <w:pStyle w:val="Heading2"/>
      </w:pPr>
      <w:r>
        <w:t xml:space="preserve">2.2.5 Municipal Bonds</w:t>
      </w:r>
    </w:p>
    <w:p>
      <w:pPr>
        <w:pStyle w:val="FirstParagraph"/>
      </w:pPr>
      <w:r>
        <w:rPr>
          <w:b/>
          <w:bCs/>
        </w:rPr>
        <w:t xml:space="preserve">Municipal bonds (</w:t>
      </w:r>
      <w:r>
        <w:rPr>
          <w:b/>
          <w:bCs/>
        </w:rPr>
        <w:t xml:space="preserve">“munis”</w:t>
      </w:r>
      <w:r>
        <w:rPr>
          <w:b/>
          <w:bCs/>
        </w:rPr>
        <w:t xml:space="preserve">)</w:t>
      </w:r>
      <w:r>
        <w:t xml:space="preserve"> </w:t>
      </w:r>
      <w:r>
        <w:t xml:space="preserve">are issued by state and local governments and resemble Treasury and corporate bonds, except that their</w:t>
      </w:r>
      <w:r>
        <w:t xml:space="preserve"> </w:t>
      </w:r>
      <w:r>
        <w:rPr>
          <w:b/>
          <w:bCs/>
        </w:rPr>
        <w:t xml:space="preserve">interest income is exempt from federal income tax</w:t>
      </w:r>
      <w:r>
        <w:t xml:space="preserve"> </w:t>
      </w:r>
      <w:r>
        <w:t xml:space="preserve">(and usually from state and local tax in the issuing state). Capital gains taxes still apply if a muni is sold or matures above the purchase price. Two main types:</w:t>
      </w:r>
    </w:p>
    <w:p>
      <w:pPr>
        <w:pStyle w:val="Compact"/>
        <w:numPr>
          <w:ilvl w:val="0"/>
          <w:numId w:val="1010"/>
        </w:numPr>
      </w:pPr>
      <w:r>
        <w:rPr>
          <w:b/>
          <w:bCs/>
        </w:rPr>
        <w:t xml:space="preserve">General obligation bonds</w:t>
      </w:r>
      <w:r>
        <w:t xml:space="preserve"> </w:t>
      </w:r>
      <w:r>
        <w:t xml:space="preserve">- backed by the</w:t>
      </w:r>
      <w:r>
        <w:t xml:space="preserve"> </w:t>
      </w:r>
      <w:r>
        <w:t xml:space="preserve">“full faith and credit”</w:t>
      </w:r>
      <w:r>
        <w:t xml:space="preserve"> </w:t>
      </w:r>
      <w:r>
        <w:t xml:space="preserve">(the taxing power) of the issuer.</w:t>
      </w:r>
    </w:p>
    <w:p>
      <w:pPr>
        <w:pStyle w:val="Compact"/>
        <w:numPr>
          <w:ilvl w:val="0"/>
          <w:numId w:val="1010"/>
        </w:numPr>
      </w:pPr>
      <w:r>
        <w:rPr>
          <w:b/>
          <w:bCs/>
        </w:rPr>
        <w:t xml:space="preserve">Revenue bonds</w:t>
      </w:r>
      <w:r>
        <w:t xml:space="preserve"> </w:t>
      </w:r>
      <w:r>
        <w:t xml:space="preserve">- issued to finance specific projects (airports, hospitals, turnpikes, port authorities) and backed only by that project’s revenues; therefore</w:t>
      </w:r>
      <w:r>
        <w:t xml:space="preserve"> </w:t>
      </w:r>
      <w:r>
        <w:rPr>
          <w:b/>
          <w:bCs/>
        </w:rPr>
        <w:t xml:space="preserve">riskier</w:t>
      </w:r>
      <w:r>
        <w:t xml:space="preserve"> </w:t>
      </w:r>
      <w:r>
        <w:t xml:space="preserve">in terms of default than general obligation bonds.</w:t>
      </w:r>
    </w:p>
    <w:p>
      <w:pPr>
        <w:pStyle w:val="FirstParagraph"/>
      </w:pPr>
      <w:r>
        <w:t xml:space="preserve">An</w:t>
      </w:r>
      <w:r>
        <w:t xml:space="preserve"> </w:t>
      </w:r>
      <w:r>
        <w:rPr>
          <w:b/>
          <w:bCs/>
        </w:rPr>
        <w:t xml:space="preserve">industrial development bond</w:t>
      </w:r>
      <w:r>
        <w:t xml:space="preserve"> </w:t>
      </w:r>
      <w:r>
        <w:t xml:space="preserve">is a revenue bond issued to finance commercial enterprises (e.g., a factory operated by a private firm), giving the firm access to the municipality’s tax-exempt borrowing rate (subject to federal limits). Municipal maturities range up to 30 years; short-term</w:t>
      </w:r>
      <w:r>
        <w:t xml:space="preserve"> </w:t>
      </w:r>
      <w:r>
        <w:rPr>
          <w:b/>
          <w:bCs/>
        </w:rPr>
        <w:t xml:space="preserve">tax anticipation notes</w:t>
      </w:r>
      <w:r>
        <w:t xml:space="preserve"> </w:t>
      </w:r>
      <w:r>
        <w:t xml:space="preserve">raise funds ahead of tax collections.</w:t>
      </w:r>
    </w:p>
    <w:tbl>
      <w:tblPr>
        <w:tblStyle w:val="Table"/>
        <w:tblW w:type="pct" w:w="5000"/>
        <w:tblLayout w:type="fixed"/>
        <w:tblLook w:firstRow="0" w:lastRow="0" w:firstColumn="0" w:lastColumn="0" w:noHBand="0" w:noVBand="0" w:val="0000"/>
      </w:tblPr>
      <w:tblGrid>
        <w:gridCol w:w="7920"/>
      </w:tblGrid>
      <w:tr>
        <w:tc>
          <w:tcPr/>
          <w:bookmarkStart w:id="51" w:name="fig-muni-debt"/>
          <w:p>
            <w:pPr>
              <w:pStyle w:val="Compact"/>
              <w:jc w:val="center"/>
            </w:pPr>
            <w:r>
              <w:drawing>
                <wp:inline>
                  <wp:extent cx="4267200" cy="2014678"/>
                  <wp:effectExtent b="0" l="0" r="0" t="0"/>
                  <wp:docPr descr="" title="" id="49" name="Picture"/>
                  <a:graphic>
                    <a:graphicData uri="http://schemas.openxmlformats.org/drawingml/2006/picture">
                      <pic:pic>
                        <pic:nvPicPr>
                          <pic:cNvPr descr="../assets/images/Ch02/Figure_2_4_muni_debt.png" id="50" name="Picture"/>
                          <pic:cNvPicPr>
                            <a:picLocks noChangeArrowheads="1" noChangeAspect="1"/>
                          </pic:cNvPicPr>
                        </pic:nvPicPr>
                        <pic:blipFill>
                          <a:blip r:embed="rId48"/>
                          <a:stretch>
                            <a:fillRect/>
                          </a:stretch>
                        </pic:blipFill>
                        <pic:spPr bwMode="auto">
                          <a:xfrm>
                            <a:off x="0" y="0"/>
                            <a:ext cx="4267200" cy="201467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2.4 - Outstanding tax-exempt debt: industrial revenue bonds and general obligation bonds.</w:t>
            </w:r>
          </w:p>
          <w:bookmarkEnd w:id="51"/>
        </w:tc>
      </w:tr>
    </w:tbl>
    <w:p>
      <w:pPr>
        <w:pStyle w:val="BodyText"/>
      </w:pPr>
      <w:r>
        <w:rPr>
          <w:b/>
          <w:bCs/>
        </w:rPr>
        <w:t xml:space="preserve">The equivalent taxable yield.</w:t>
      </w:r>
      <w:r>
        <w:t xml:space="preserve"> </w:t>
      </w:r>
      <w:r>
        <w:t xml:space="preserve">Because muni interest escapes tax, investors compare after-tax returns. Let</w:t>
      </w:r>
      <w:r>
        <w:t xml:space="preserve"> </w:t>
      </w:r>
      <m:oMath>
        <m:r>
          <m:t>t</m:t>
        </m:r>
      </m:oMath>
      <w:r>
        <w:t xml:space="preserve"> </w:t>
      </w:r>
      <w:r>
        <w:t xml:space="preserve">be the investor’s combined federal-plus-local marginal tax rate and</w:t>
      </w:r>
      <w:r>
        <w:t xml:space="preserve"> </w:t>
      </w:r>
      <m:oMath>
        <m:sSub>
          <m:e>
            <m:r>
              <m:t>r</m:t>
            </m:r>
          </m:e>
          <m:sub>
            <m:r>
              <m:rPr>
                <m:nor/>
                <m:sty m:val="p"/>
              </m:rPr>
              <m:t>taxable</m:t>
            </m:r>
          </m:sub>
        </m:sSub>
      </m:oMath>
      <w:r>
        <w:t xml:space="preserve"> </w:t>
      </w:r>
      <w:r>
        <w:t xml:space="preserve">the before-tax yield on a taxable bond. Then the after-tax taxable yield is</w:t>
      </w:r>
      <w:r>
        <w:t xml:space="preserve"> </w:t>
      </w:r>
      <m:oMath>
        <m:sSub>
          <m:e>
            <m:r>
              <m:t>r</m:t>
            </m:r>
          </m:e>
          <m:sub>
            <m:r>
              <m:rPr>
                <m:nor/>
                <m:sty m:val="p"/>
              </m:rPr>
              <m:t>taxable</m:t>
            </m:r>
          </m:sub>
        </m:sSub>
        <m:d>
          <m:dPr>
            <m:begChr m:val="("/>
            <m:sepChr m:val=""/>
            <m:endChr m:val=")"/>
            <m:grow/>
          </m:dPr>
          <m:e>
            <m:r>
              <m:t>1</m:t>
            </m:r>
            <m:r>
              <m:rPr>
                <m:sty m:val="p"/>
              </m:rPr>
              <m:t>−</m:t>
            </m:r>
            <m:r>
              <m:t>t</m:t>
            </m:r>
          </m:e>
        </m:d>
      </m:oMath>
      <w:r>
        <w:t xml:space="preserve">. Setting after-tax yields equal gives the</w:t>
      </w:r>
      <w:r>
        <w:t xml:space="preserve"> </w:t>
      </w:r>
      <w:r>
        <w:rPr>
          <w:b/>
          <w:bCs/>
        </w:rPr>
        <w:t xml:space="preserve">equivalent taxable yield</w:t>
      </w:r>
      <w:r>
        <w:t xml:space="preserve"> </w:t>
      </w:r>
      <w:r>
        <w:t xml:space="preserve">- the rate a taxable bond must offer to match a muni:</w:t>
      </w:r>
    </w:p>
    <w:p>
      <w:pPr>
        <w:pStyle w:val="BodyText"/>
      </w:pPr>
      <m:oMathPara>
        <m:oMathParaPr>
          <m:jc m:val="center"/>
        </m:oMathParaPr>
        <m:oMath>
          <m:sSub>
            <m:e>
              <m:r>
                <m:t>r</m:t>
              </m:r>
            </m:e>
            <m:sub>
              <m:r>
                <m:rPr>
                  <m:nor/>
                  <m:sty m:val="p"/>
                </m:rPr>
                <m:t>taxable</m:t>
              </m:r>
            </m:sub>
          </m:sSub>
          <m:d>
            <m:dPr>
              <m:begChr m:val="("/>
              <m:sepChr m:val=""/>
              <m:endChr m:val=")"/>
              <m:grow/>
            </m:dPr>
            <m:e>
              <m:r>
                <m:t>1</m:t>
              </m:r>
              <m:r>
                <m:rPr>
                  <m:sty m:val="p"/>
                </m:rPr>
                <m:t>−</m:t>
              </m:r>
              <m:r>
                <m:t>t</m:t>
              </m:r>
            </m:e>
          </m:d>
          <m:r>
            <m:rPr>
              <m:sty m:val="p"/>
            </m:rPr>
            <m:t>=</m:t>
          </m:r>
          <m:sSub>
            <m:e>
              <m:r>
                <m:t>r</m:t>
              </m:r>
            </m:e>
            <m:sub>
              <m:r>
                <m:rPr>
                  <m:nor/>
                  <m:sty m:val="p"/>
                </m:rPr>
                <m:t>muni</m:t>
              </m:r>
            </m:sub>
          </m:sSub>
          <m:r>
            <m:t>  </m:t>
          </m:r>
          <m:d>
            <m:dPr>
              <m:begChr m:val="("/>
              <m:sepChr m:val=""/>
              <m:endChr m:val=")"/>
              <m:grow/>
            </m:dPr>
            <m:e>
              <m:r>
                <m:t>2.1</m:t>
              </m:r>
            </m:e>
          </m:d>
        </m:oMath>
      </m:oMathPara>
    </w:p>
    <w:p>
      <w:pPr>
        <w:pStyle w:val="FirstParagraph"/>
      </w:pPr>
      <m:oMathPara>
        <m:oMathParaPr>
          <m:jc m:val="center"/>
        </m:oMathParaPr>
        <m:oMath>
          <m:sSub>
            <m:e>
              <m:r>
                <m:t>r</m:t>
              </m:r>
            </m:e>
            <m:sub>
              <m:r>
                <m:rPr>
                  <m:nor/>
                  <m:sty m:val="p"/>
                </m:rPr>
                <m:t>taxable</m:t>
              </m:r>
            </m:sub>
          </m:sSub>
          <m:r>
            <m:rPr>
              <m:sty m:val="p"/>
            </m:rPr>
            <m:t>=</m:t>
          </m:r>
          <m:f>
            <m:fPr>
              <m:type m:val="bar"/>
            </m:fPr>
            <m:num>
              <m:sSub>
                <m:e>
                  <m:r>
                    <m:t>r</m:t>
                  </m:r>
                </m:e>
                <m:sub>
                  <m:r>
                    <m:rPr>
                      <m:nor/>
                      <m:sty m:val="p"/>
                    </m:rPr>
                    <m:t>muni</m:t>
                  </m:r>
                </m:sub>
              </m:sSub>
            </m:num>
            <m:den>
              <m:r>
                <m:t>1</m:t>
              </m:r>
              <m:r>
                <m:rPr>
                  <m:sty m:val="p"/>
                </m:rPr>
                <m:t>−</m:t>
              </m:r>
              <m:r>
                <m:t>t</m:t>
              </m:r>
            </m:den>
          </m:f>
          <m:r>
            <m:t>  </m:t>
          </m:r>
          <m:d>
            <m:dPr>
              <m:begChr m:val="("/>
              <m:sepChr m:val=""/>
              <m:endChr m:val=")"/>
              <m:grow/>
            </m:dPr>
            <m:e>
              <m:r>
                <m:t>2.2</m:t>
              </m:r>
            </m:e>
          </m:d>
        </m:oMath>
      </m:oMathPara>
    </w:p>
    <w:p>
      <w:pPr>
        <w:pStyle w:val="FirstParagraph"/>
      </w:pPr>
      <w:r>
        <w:rPr>
          <w:b/>
          <w:bCs/>
        </w:rPr>
        <w:t xml:space="preserve">Table 2.2 - Equivalent taxable yields for various tax-exempt yields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Marginal Tax Rate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20%</w:t>
            </w:r>
          </w:p>
        </w:tc>
        <w:tc>
          <w:tcPr/>
          <w:p>
            <w:pPr>
              <w:pStyle w:val="Compact"/>
            </w:pPr>
            <w:r>
              <w:t xml:space="preserve">1.25%</w:t>
            </w:r>
          </w:p>
        </w:tc>
        <w:tc>
          <w:tcPr/>
          <w:p>
            <w:pPr>
              <w:pStyle w:val="Compact"/>
            </w:pPr>
            <w:r>
              <w:t xml:space="preserve">2.50%</w:t>
            </w:r>
          </w:p>
        </w:tc>
        <w:tc>
          <w:tcPr/>
          <w:p>
            <w:pPr>
              <w:pStyle w:val="Compact"/>
            </w:pPr>
            <w:r>
              <w:t xml:space="preserve">3.75%</w:t>
            </w:r>
          </w:p>
        </w:tc>
        <w:tc>
          <w:tcPr/>
          <w:p>
            <w:pPr>
              <w:pStyle w:val="Compact"/>
            </w:pPr>
            <w:r>
              <w:t xml:space="preserve">5.00%</w:t>
            </w:r>
          </w:p>
        </w:tc>
        <w:tc>
          <w:tcPr/>
          <w:p>
            <w:pPr>
              <w:pStyle w:val="Compact"/>
            </w:pPr>
            <w:r>
              <w:t xml:space="preserve">6.25%</w:t>
            </w:r>
          </w:p>
        </w:tc>
      </w:tr>
      <w:tr>
        <w:tc>
          <w:tcPr/>
          <w:p>
            <w:pPr>
              <w:pStyle w:val="Compact"/>
            </w:pPr>
            <w:r>
              <w:t xml:space="preserve">30%</w:t>
            </w:r>
          </w:p>
        </w:tc>
        <w:tc>
          <w:tcPr/>
          <w:p>
            <w:pPr>
              <w:pStyle w:val="Compact"/>
            </w:pPr>
            <w:r>
              <w:t xml:space="preserve">1.43</w:t>
            </w:r>
          </w:p>
        </w:tc>
        <w:tc>
          <w:tcPr/>
          <w:p>
            <w:pPr>
              <w:pStyle w:val="Compact"/>
            </w:pPr>
            <w:r>
              <w:t xml:space="preserve">2.86</w:t>
            </w:r>
          </w:p>
        </w:tc>
        <w:tc>
          <w:tcPr/>
          <w:p>
            <w:pPr>
              <w:pStyle w:val="Compact"/>
            </w:pPr>
            <w:r>
              <w:t xml:space="preserve">4.29</w:t>
            </w:r>
          </w:p>
        </w:tc>
        <w:tc>
          <w:tcPr/>
          <w:p>
            <w:pPr>
              <w:pStyle w:val="Compact"/>
            </w:pPr>
            <w:r>
              <w:t xml:space="preserve">5.71</w:t>
            </w:r>
          </w:p>
        </w:tc>
        <w:tc>
          <w:tcPr/>
          <w:p>
            <w:pPr>
              <w:pStyle w:val="Compact"/>
            </w:pPr>
            <w:r>
              <w:t xml:space="preserve">7.15</w:t>
            </w:r>
          </w:p>
        </w:tc>
      </w:tr>
      <w:tr>
        <w:tc>
          <w:tcPr/>
          <w:p>
            <w:pPr>
              <w:pStyle w:val="Compact"/>
            </w:pPr>
            <w:r>
              <w:t xml:space="preserve">40%</w:t>
            </w:r>
          </w:p>
        </w:tc>
        <w:tc>
          <w:tcPr/>
          <w:p>
            <w:pPr>
              <w:pStyle w:val="Compact"/>
            </w:pPr>
            <w:r>
              <w:t xml:space="preserve">1.67</w:t>
            </w:r>
          </w:p>
        </w:tc>
        <w:tc>
          <w:tcPr/>
          <w:p>
            <w:pPr>
              <w:pStyle w:val="Compact"/>
            </w:pPr>
            <w:r>
              <w:t xml:space="preserve">3.33</w:t>
            </w:r>
          </w:p>
        </w:tc>
        <w:tc>
          <w:tcPr/>
          <w:p>
            <w:pPr>
              <w:pStyle w:val="Compact"/>
            </w:pPr>
            <w:r>
              <w:t xml:space="preserve">5.00</w:t>
            </w:r>
          </w:p>
        </w:tc>
        <w:tc>
          <w:tcPr/>
          <w:p>
            <w:pPr>
              <w:pStyle w:val="Compact"/>
            </w:pPr>
            <w:r>
              <w:t xml:space="preserve">6.67</w:t>
            </w:r>
          </w:p>
        </w:tc>
        <w:tc>
          <w:tcPr/>
          <w:p>
            <w:pPr>
              <w:pStyle w:val="Compact"/>
            </w:pPr>
            <w:r>
              <w:t xml:space="preserve">8.33</w:t>
            </w:r>
          </w:p>
        </w:tc>
      </w:tr>
      <w:tr>
        <w:tc>
          <w:tcPr/>
          <w:p>
            <w:pPr>
              <w:pStyle w:val="Compact"/>
            </w:pPr>
            <w:r>
              <w:t xml:space="preserve">50%</w:t>
            </w:r>
          </w:p>
        </w:tc>
        <w:tc>
          <w:tcPr/>
          <w:p>
            <w:pPr>
              <w:pStyle w:val="Compact"/>
            </w:pPr>
            <w:r>
              <w:t xml:space="preserve">2.00</w:t>
            </w:r>
          </w:p>
        </w:tc>
        <w:tc>
          <w:tcPr/>
          <w:p>
            <w:pPr>
              <w:pStyle w:val="Compact"/>
            </w:pPr>
            <w:r>
              <w:t xml:space="preserve">4.00</w:t>
            </w:r>
          </w:p>
        </w:tc>
        <w:tc>
          <w:tcPr/>
          <w:p>
            <w:pPr>
              <w:pStyle w:val="Compact"/>
            </w:pPr>
            <w:r>
              <w:t xml:space="preserve">6.00</w:t>
            </w:r>
          </w:p>
        </w:tc>
        <w:tc>
          <w:tcPr/>
          <w:p>
            <w:pPr>
              <w:pStyle w:val="Compact"/>
            </w:pPr>
            <w:r>
              <w:t xml:space="preserve">8.00</w:t>
            </w:r>
          </w:p>
        </w:tc>
        <w:tc>
          <w:tcPr/>
          <w:p>
            <w:pPr>
              <w:pStyle w:val="Compact"/>
            </w:pPr>
            <w:r>
              <w:t xml:space="preserve">10.00</w:t>
            </w:r>
          </w:p>
        </w:tc>
      </w:tr>
    </w:tbl>
    <w:p>
      <w:pPr>
        <w:pStyle w:val="BodyText"/>
      </w:pPr>
      <w:r>
        <w:t xml:space="preserve">The equivalent taxable yield rises with the tax bracket - the higher the bracket, the more valuable the exemption - which is why high-bracket investors tend to hold munis. Rearranging equation 2.1 gives the</w:t>
      </w:r>
      <w:r>
        <w:t xml:space="preserve"> </w:t>
      </w:r>
      <w:r>
        <w:rPr>
          <w:b/>
          <w:bCs/>
        </w:rPr>
        <w:t xml:space="preserve">cutoff (break-even) tax bracket</w:t>
      </w:r>
      <w:r>
        <w:t xml:space="preserve"> </w:t>
      </w:r>
      <w:r>
        <w:t xml:space="preserve">at which an investor is indifferent between taxable and tax-exempt bonds:</w:t>
      </w:r>
    </w:p>
    <w:p>
      <w:pPr>
        <w:pStyle w:val="BodyText"/>
      </w:pPr>
      <m:oMathPara>
        <m:oMathParaPr>
          <m:jc m:val="center"/>
        </m:oMathParaPr>
        <m:oMath>
          <m:r>
            <m:t>t</m:t>
          </m:r>
          <m:r>
            <m:rPr>
              <m:sty m:val="p"/>
            </m:rPr>
            <m:t>=</m:t>
          </m:r>
          <m:r>
            <m:t>1</m:t>
          </m:r>
          <m:r>
            <m:rPr>
              <m:sty m:val="p"/>
            </m:rPr>
            <m:t>−</m:t>
          </m:r>
          <m:f>
            <m:fPr>
              <m:type m:val="bar"/>
            </m:fPr>
            <m:num>
              <m:sSub>
                <m:e>
                  <m:r>
                    <m:t>r</m:t>
                  </m:r>
                </m:e>
                <m:sub>
                  <m:r>
                    <m:rPr>
                      <m:nor/>
                      <m:sty m:val="p"/>
                    </m:rPr>
                    <m:t>muni</m:t>
                  </m:r>
                </m:sub>
              </m:sSub>
            </m:num>
            <m:den>
              <m:sSub>
                <m:e>
                  <m:r>
                    <m:t>r</m:t>
                  </m:r>
                </m:e>
                <m:sub>
                  <m:r>
                    <m:rPr>
                      <m:nor/>
                      <m:sty m:val="p"/>
                    </m:rPr>
                    <m:t>taxable</m:t>
                  </m:r>
                </m:sub>
              </m:sSub>
            </m:den>
          </m:f>
          <m:r>
            <m:t>  </m:t>
          </m:r>
          <m:d>
            <m:dPr>
              <m:begChr m:val="("/>
              <m:sepChr m:val=""/>
              <m:endChr m:val=")"/>
              <m:grow/>
            </m:dPr>
            <m:e>
              <m:r>
                <m:t>2.3</m:t>
              </m:r>
            </m:e>
          </m:d>
        </m:oMath>
      </m:oMathPara>
    </w:p>
    <w:p>
      <w:pPr>
        <w:pStyle w:val="FirstParagraph"/>
      </w:pPr>
      <w:r>
        <w:t xml:space="preserve">The</w:t>
      </w:r>
      <w:r>
        <w:t xml:space="preserve"> </w:t>
      </w:r>
      <w:r>
        <w:rPr>
          <w:b/>
          <w:bCs/>
        </w:rPr>
        <w:t xml:space="preserve">yield ratio</w:t>
      </w:r>
      <w:r>
        <w:t xml:space="preserve"> </w:t>
      </w:r>
      <m:oMath>
        <m:sSub>
          <m:e>
            <m:r>
              <m:t>r</m:t>
            </m:r>
          </m:e>
          <m:sub>
            <m:r>
              <m:rPr>
                <m:nor/>
                <m:sty m:val="p"/>
              </m:rPr>
              <m:t>muni</m:t>
            </m:r>
          </m:sub>
        </m:sSub>
        <m:r>
          <m:rPr>
            <m:sty m:val="p"/>
          </m:rPr>
          <m:t>/</m:t>
        </m:r>
        <m:sSub>
          <m:e>
            <m:r>
              <m:t>r</m:t>
            </m:r>
          </m:e>
          <m:sub>
            <m:r>
              <m:rPr>
                <m:nor/>
                <m:sty m:val="p"/>
              </m:rPr>
              <m:t>taxable</m:t>
            </m:r>
          </m:sub>
        </m:sSub>
      </m:oMath>
      <w:r>
        <w:t xml:space="preserve"> </w:t>
      </w:r>
      <w:r>
        <w:t xml:space="preserve">is a key driver of muni attractiveness: the higher the ratio, the lower the cutoff bracket, and the more investors prefer munis. Figure 2.5 plots this ratio (versus Baa-rated corporate debt); it has hovered around 0.70 for most of the past 40 years, implying a cutoff bracket near</w:t>
      </w:r>
      <w:r>
        <w:t xml:space="preserve"> </w:t>
      </w:r>
      <m:oMath>
        <m:r>
          <m:t>1</m:t>
        </m:r>
        <m:r>
          <m:rPr>
            <m:sty m:val="p"/>
          </m:rPr>
          <m:t>−</m:t>
        </m:r>
        <m:r>
          <m:t>0.70</m:t>
        </m:r>
        <m:r>
          <m:rPr>
            <m:sty m:val="p"/>
          </m:rPr>
          <m:t>=</m:t>
        </m:r>
        <m:r>
          <m:t>0.30</m:t>
        </m:r>
      </m:oMath>
      <w:r>
        <w:t xml:space="preserve">, or 30%.</w:t>
      </w:r>
    </w:p>
    <w:tbl>
      <w:tblPr>
        <w:tblStyle w:val="Table"/>
        <w:tblW w:type="pct" w:w="5000"/>
        <w:tblLayout w:type="fixed"/>
        <w:tblLook w:firstRow="0" w:lastRow="0" w:firstColumn="0" w:lastColumn="0" w:noHBand="0" w:noVBand="0" w:val="0000"/>
      </w:tblPr>
      <w:tblGrid>
        <w:gridCol w:w="7920"/>
      </w:tblGrid>
      <w:tr>
        <w:tc>
          <w:tcPr/>
          <w:bookmarkStart w:id="55" w:name="fig-yield-ratio"/>
          <w:p>
            <w:pPr>
              <w:pStyle w:val="Compact"/>
              <w:jc w:val="center"/>
            </w:pPr>
            <w:r>
              <w:drawing>
                <wp:inline>
                  <wp:extent cx="4533900" cy="2994699"/>
                  <wp:effectExtent b="0" l="0" r="0" t="0"/>
                  <wp:docPr descr="" title="" id="53" name="Picture"/>
                  <a:graphic>
                    <a:graphicData uri="http://schemas.openxmlformats.org/drawingml/2006/picture">
                      <pic:pic>
                        <pic:nvPicPr>
                          <pic:cNvPr descr="../assets/images/Ch02/Figure_2_5_yield_ratio.png" id="54" name="Picture"/>
                          <pic:cNvPicPr>
                            <a:picLocks noChangeArrowheads="1" noChangeAspect="1"/>
                          </pic:cNvPicPr>
                        </pic:nvPicPr>
                        <pic:blipFill>
                          <a:blip r:embed="rId52"/>
                          <a:stretch>
                            <a:fillRect/>
                          </a:stretch>
                        </pic:blipFill>
                        <pic:spPr bwMode="auto">
                          <a:xfrm>
                            <a:off x="0" y="0"/>
                            <a:ext cx="4533900" cy="2994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Figure 2.5 - Ratio of yields on municipal debt to corporate Baa-rated debt.</w:t>
            </w:r>
          </w:p>
          <w:bookmarkEnd w:id="55"/>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Example 2.1 - Taxable versus Tax-Exempt Yields</w:t>
            </w:r>
          </w:p>
          <w:p>
            <w:pPr>
              <w:pStyle w:val="BodyText"/>
            </w:pPr>
            <w:pPr>
              <w:spacing w:after="16"/>
            </w:pPr>
            <w:r>
              <w:t xml:space="preserve">With the ratio around 0.70, equation 2.3 implies that an investor whose combined bracket exceeds 30% earns a higher after-tax yield from municipals. Because it is hard to control precisely for differences in risk between the bonds, this cutoff is approximate.</w:t>
            </w:r>
          </w:p>
        </w:tc>
      </w:tr>
    </w:tbl>
    <w:p>
      <w:pPr>
        <w:pStyle w:val="BodyText"/>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tip.png" id="59"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2.2</w:t>
            </w:r>
            <w:r>
              <w:t xml:space="preserve"> </w:t>
            </w:r>
            <w:r>
              <w:t xml:space="preserve">- In a 30% combined bracket, would you prefer a 6% taxable return or a 4% tax-free yield? What is the equivalent taxable yield of the 4% tax-free yield?</w:t>
            </w:r>
            <w:r>
              <w:t xml:space="preserve"> </w:t>
            </w:r>
            <w:r>
              <w:rPr>
                <w:i/>
                <w:iCs/>
              </w:rPr>
              <w:t xml:space="preserve">(Solution at the end.)</w:t>
            </w:r>
          </w:p>
        </w:tc>
      </w:tr>
    </w:tbl>
    <w:bookmarkEnd w:id="60"/>
    <w:bookmarkStart w:id="61" w:name="corporate-bonds"/>
    <w:p>
      <w:pPr>
        <w:pStyle w:val="Heading2"/>
      </w:pPr>
      <w:r>
        <w:t xml:space="preserve">2.2.6 Corporate Bonds</w:t>
      </w:r>
    </w:p>
    <w:p>
      <w:pPr>
        <w:pStyle w:val="FirstParagraph"/>
      </w:pPr>
      <w:r>
        <w:rPr>
          <w:b/>
          <w:bCs/>
        </w:rPr>
        <w:t xml:space="preserve">Corporate bonds</w:t>
      </w:r>
      <w:r>
        <w:t xml:space="preserve"> </w:t>
      </w:r>
      <w:r>
        <w:t xml:space="preserve">are how firms borrow directly from the public. Structured much like Treasuries - semiannual coupons, face value returned at maturity - they differ chiefly by carrying</w:t>
      </w:r>
      <w:r>
        <w:t xml:space="preserve"> </w:t>
      </w:r>
      <w:r>
        <w:rPr>
          <w:b/>
          <w:bCs/>
        </w:rPr>
        <w:t xml:space="preserve">default risk</w:t>
      </w:r>
      <w:r>
        <w:t xml:space="preserve"> </w:t>
      </w:r>
      <w:r>
        <w:t xml:space="preserve">(covered in Chapter 10). By claim priority in bankruptcy:</w:t>
      </w:r>
    </w:p>
    <w:p>
      <w:pPr>
        <w:pStyle w:val="Compact"/>
        <w:numPr>
          <w:ilvl w:val="0"/>
          <w:numId w:val="1011"/>
        </w:numPr>
      </w:pPr>
      <w:r>
        <w:rPr>
          <w:b/>
          <w:bCs/>
        </w:rPr>
        <w:t xml:space="preserve">Secured bonds</w:t>
      </w:r>
      <w:r>
        <w:t xml:space="preserve"> </w:t>
      </w:r>
      <w:r>
        <w:t xml:space="preserve">- backed by specific collateral.</w:t>
      </w:r>
    </w:p>
    <w:p>
      <w:pPr>
        <w:pStyle w:val="Compact"/>
        <w:numPr>
          <w:ilvl w:val="0"/>
          <w:numId w:val="1011"/>
        </w:numPr>
      </w:pPr>
      <w:r>
        <w:rPr>
          <w:b/>
          <w:bCs/>
        </w:rPr>
        <w:t xml:space="preserve">Debentures</w:t>
      </w:r>
      <w:r>
        <w:t xml:space="preserve"> </w:t>
      </w:r>
      <w:r>
        <w:t xml:space="preserve">- unsecured, no specific collateral.</w:t>
      </w:r>
    </w:p>
    <w:p>
      <w:pPr>
        <w:pStyle w:val="Compact"/>
        <w:numPr>
          <w:ilvl w:val="0"/>
          <w:numId w:val="1011"/>
        </w:numPr>
      </w:pPr>
      <w:r>
        <w:rPr>
          <w:b/>
          <w:bCs/>
        </w:rPr>
        <w:t xml:space="preserve">Subordinated debentures</w:t>
      </w:r>
      <w:r>
        <w:t xml:space="preserve"> </w:t>
      </w:r>
      <w:r>
        <w:t xml:space="preserve">- lower-priority claim on assets.</w:t>
      </w:r>
    </w:p>
    <w:p>
      <w:pPr>
        <w:pStyle w:val="FirstParagraph"/>
      </w:pPr>
      <w:r>
        <w:t xml:space="preserve">Corporate bonds may carry embedded options:</w:t>
      </w:r>
      <w:r>
        <w:t xml:space="preserve"> </w:t>
      </w:r>
      <w:r>
        <w:rPr>
          <w:b/>
          <w:bCs/>
        </w:rPr>
        <w:t xml:space="preserve">callable bonds</w:t>
      </w:r>
      <w:r>
        <w:t xml:space="preserve"> </w:t>
      </w:r>
      <w:r>
        <w:t xml:space="preserve">let the firm repurchase the bond at a stipulated call price, while</w:t>
      </w:r>
      <w:r>
        <w:t xml:space="preserve"> </w:t>
      </w:r>
      <w:r>
        <w:rPr>
          <w:b/>
          <w:bCs/>
        </w:rPr>
        <w:t xml:space="preserve">convertible bonds</w:t>
      </w:r>
      <w:r>
        <w:t xml:space="preserve"> </w:t>
      </w:r>
      <w:r>
        <w:t xml:space="preserve">let the holder convert each bond into a set number of shares (covered in Part Three). By credit quality, bonds are classified as</w:t>
      </w:r>
      <w:r>
        <w:t xml:space="preserve"> </w:t>
      </w:r>
      <w:r>
        <w:rPr>
          <w:b/>
          <w:bCs/>
        </w:rPr>
        <w:t xml:space="preserve">investment grade</w:t>
      </w:r>
      <w:r>
        <w:t xml:space="preserve"> </w:t>
      </w:r>
      <w:r>
        <w:t xml:space="preserve">versus</w:t>
      </w:r>
      <w:r>
        <w:t xml:space="preserve"> </w:t>
      </w:r>
      <w:r>
        <w:rPr>
          <w:b/>
          <w:bCs/>
        </w:rPr>
        <w:t xml:space="preserve">speculative (high-yield) grade</w:t>
      </w:r>
      <w:r>
        <w:t xml:space="preserve">.</w:t>
      </w:r>
    </w:p>
    <w:bookmarkEnd w:id="61"/>
    <w:bookmarkStart w:id="70" w:name="mortgage--and-asset-backed-securities"/>
    <w:p>
      <w:pPr>
        <w:pStyle w:val="Heading2"/>
      </w:pPr>
      <w:r>
        <w:t xml:space="preserve">2.2.7 Mortgage- and Asset-Backed Securities</w:t>
      </w:r>
    </w:p>
    <w:p>
      <w:pPr>
        <w:pStyle w:val="FirstParagraph"/>
      </w:pPr>
      <w:r>
        <w:t xml:space="preserve">A</w:t>
      </w:r>
      <w:r>
        <w:t xml:space="preserve"> </w:t>
      </w:r>
      <w:r>
        <w:rPr>
          <w:b/>
          <w:bCs/>
        </w:rPr>
        <w:t xml:space="preserve">mortgage-backed security</w:t>
      </w:r>
      <w:r>
        <w:t xml:space="preserve"> </w:t>
      </w:r>
      <w:r>
        <w:t xml:space="preserve">is an ownership claim in a pool of mortgages (or an obligation secured by such a pool); owners receive the</w:t>
      </w:r>
      <w:r>
        <w:t xml:space="preserve"> </w:t>
      </w:r>
      <w:r>
        <w:t xml:space="preserve">“</w:t>
      </w:r>
      <w:r>
        <w:rPr>
          <w:b/>
          <w:bCs/>
        </w:rPr>
        <w:t xml:space="preserve">pass-through</w:t>
      </w:r>
      <w:r>
        <w:t xml:space="preserve">”</w:t>
      </w:r>
      <w:r>
        <w:t xml:space="preserve"> </w:t>
      </w:r>
      <w:r>
        <w:t xml:space="preserve">of the pool’s monthly principal and interest. Traditionally, pass-throughs were built from</w:t>
      </w:r>
      <w:r>
        <w:t xml:space="preserve"> </w:t>
      </w:r>
      <w:r>
        <w:rPr>
          <w:b/>
          <w:bCs/>
        </w:rPr>
        <w:t xml:space="preserve">conforming mortgages</w:t>
      </w:r>
      <w:r>
        <w:t xml:space="preserve"> </w:t>
      </w:r>
      <w:r>
        <w:t xml:space="preserve">meeting underwriting standards for purchase by Fannie Mae or Freddie Mac. Leading up to the crisis, however, large amounts of</w:t>
      </w:r>
      <w:r>
        <w:t xml:space="preserve"> </w:t>
      </w:r>
      <w:r>
        <w:rPr>
          <w:b/>
          <w:bCs/>
        </w:rPr>
        <w:t xml:space="preserve">subprime mortgages</w:t>
      </w:r>
      <w:r>
        <w:t xml:space="preserve"> </w:t>
      </w:r>
      <w:r>
        <w:t xml:space="preserve">(riskier loans to weaker borrowers) were bundled and sold by</w:t>
      </w:r>
      <w:r>
        <w:t xml:space="preserve"> </w:t>
      </w:r>
      <w:r>
        <w:t xml:space="preserve">“private-label”</w:t>
      </w:r>
      <w:r>
        <w:t xml:space="preserve"> </w:t>
      </w:r>
      <w:r>
        <w:t xml:space="preserve">issuers.</w:t>
      </w:r>
    </w:p>
    <w:tbl>
      <w:tblPr>
        <w:tblStyle w:val="Table"/>
        <w:tblW w:type="pct" w:w="5000"/>
        <w:tblLayout w:type="fixed"/>
        <w:tblLook w:firstRow="0" w:lastRow="0" w:firstColumn="0" w:lastColumn="0" w:noHBand="0" w:noVBand="0" w:val="0000"/>
      </w:tblPr>
      <w:tblGrid>
        <w:gridCol w:w="7920"/>
      </w:tblGrid>
      <w:tr>
        <w:tc>
          <w:tcPr/>
          <w:bookmarkStart w:id="65" w:name="fig-mbs"/>
          <w:p>
            <w:pPr>
              <w:pStyle w:val="Compact"/>
              <w:jc w:val="center"/>
            </w:pPr>
            <w:r>
              <w:drawing>
                <wp:inline>
                  <wp:extent cx="4533900" cy="2715783"/>
                  <wp:effectExtent b="0" l="0" r="0" t="0"/>
                  <wp:docPr descr="" title="" id="63" name="Picture"/>
                  <a:graphic>
                    <a:graphicData uri="http://schemas.openxmlformats.org/drawingml/2006/picture">
                      <pic:pic>
                        <pic:nvPicPr>
                          <pic:cNvPr descr="../assets/images/Ch02/Figure_2_6_mbs_outstanding.png" id="64" name="Picture"/>
                          <pic:cNvPicPr>
                            <a:picLocks noChangeArrowheads="1" noChangeAspect="1"/>
                          </pic:cNvPicPr>
                        </pic:nvPicPr>
                        <pic:blipFill>
                          <a:blip r:embed="rId62"/>
                          <a:stretch>
                            <a:fillRect/>
                          </a:stretch>
                        </pic:blipFill>
                        <pic:spPr bwMode="auto">
                          <a:xfrm>
                            <a:off x="0" y="0"/>
                            <a:ext cx="4533900" cy="271578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Figure 2.6 - Mortgage-backed securities outstanding (private issuers vs. federal agencies and pass-throughs).</w:t>
            </w:r>
          </w:p>
          <w:bookmarkEnd w:id="65"/>
        </w:tc>
      </w:tr>
    </w:tbl>
    <w:p>
      <w:pPr>
        <w:pStyle w:val="BodyText"/>
      </w:pPr>
      <w:r>
        <w:t xml:space="preserve">Encouraged to expand affordable housing, the government-sponsored enterprises bought subprime mortgage securities that proved disastrous, generating trillion-dollar losses across banks, hedge funds, Fannie, and Freddie. From 2007, the private-label pass-through market shrank rapidly (Figure 2.6).</w:t>
      </w:r>
    </w:p>
    <w:p>
      <w:pPr>
        <w:pStyle w:val="BodyText"/>
      </w:pPr>
      <w:r>
        <w:t xml:space="preserve">Despite these troubles,</w:t>
      </w:r>
      <w:r>
        <w:t xml:space="preserve"> </w:t>
      </w:r>
      <w:r>
        <w:rPr>
          <w:b/>
          <w:bCs/>
        </w:rPr>
        <w:t xml:space="preserve">securitization</w:t>
      </w:r>
      <w:r>
        <w:t xml:space="preserve"> </w:t>
      </w:r>
      <w:r>
        <w:t xml:space="preserve">is now common well beyond mortgages: car loans, student loans, home equity loans, credit card receivables, and even corporate debt are bundled into tradable pass-through securities. Figure 2.7 shows the rapid pre-2007 growth of nonmortgage asset-backed securities; the market contracted after the crisis and again during COVID-19 but remains substantial.</w:t>
      </w:r>
    </w:p>
    <w:tbl>
      <w:tblPr>
        <w:tblStyle w:val="Table"/>
        <w:tblW w:type="pct" w:w="5000"/>
        <w:tblLayout w:type="fixed"/>
        <w:tblLook w:firstRow="0" w:lastRow="0" w:firstColumn="0" w:lastColumn="0" w:noHBand="0" w:noVBand="0" w:val="0000"/>
      </w:tblPr>
      <w:tblGrid>
        <w:gridCol w:w="7920"/>
      </w:tblGrid>
      <w:tr>
        <w:tc>
          <w:tcPr/>
          <w:bookmarkStart w:id="69" w:name="fig-abs"/>
          <w:p>
            <w:pPr>
              <w:pStyle w:val="Compact"/>
              <w:jc w:val="center"/>
            </w:pPr>
            <w:r>
              <w:drawing>
                <wp:inline>
                  <wp:extent cx="4533900" cy="3037804"/>
                  <wp:effectExtent b="0" l="0" r="0" t="0"/>
                  <wp:docPr descr="" title="" id="67" name="Picture"/>
                  <a:graphic>
                    <a:graphicData uri="http://schemas.openxmlformats.org/drawingml/2006/picture">
                      <pic:pic>
                        <pic:nvPicPr>
                          <pic:cNvPr descr="../assets/images/Ch02/Figure_2_7_abs_outstanding.png" id="68" name="Picture"/>
                          <pic:cNvPicPr>
                            <a:picLocks noChangeArrowheads="1" noChangeAspect="1"/>
                          </pic:cNvPicPr>
                        </pic:nvPicPr>
                        <pic:blipFill>
                          <a:blip r:embed="rId66"/>
                          <a:stretch>
                            <a:fillRect/>
                          </a:stretch>
                        </pic:blipFill>
                        <pic:spPr bwMode="auto">
                          <a:xfrm>
                            <a:off x="0" y="0"/>
                            <a:ext cx="4533900" cy="303780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Figure 2.7 - Asset-backed securities outstanding (student loans, equipment, credit card, automobile).</w:t>
            </w:r>
          </w:p>
          <w:bookmarkEnd w:id="69"/>
        </w:tc>
      </w:tr>
    </w:tbl>
    <w:p>
      <w:r>
        <w:pict>
          <v:rect style="width:0;height:1.5pt" o:hralign="center" o:hrstd="t" o:hr="t"/>
        </w:pict>
      </w:r>
    </w:p>
    <w:bookmarkEnd w:id="70"/>
    <w:bookmarkEnd w:id="71"/>
    <w:bookmarkStart w:id="79" w:name="equity-securities"/>
    <w:p>
      <w:pPr>
        <w:pStyle w:val="Heading1"/>
      </w:pPr>
      <w:r>
        <w:t xml:space="preserve">2.3 Equity Securities</w:t>
      </w:r>
    </w:p>
    <w:bookmarkStart w:id="72" w:name="common-stock-as-ownership-shares"/>
    <w:p>
      <w:pPr>
        <w:pStyle w:val="Heading2"/>
      </w:pPr>
      <w:r>
        <w:t xml:space="preserve">2.3.1 Common Stock as Ownership Shares</w:t>
      </w:r>
    </w:p>
    <w:p>
      <w:pPr>
        <w:pStyle w:val="FirstParagraph"/>
      </w:pPr>
      <w:r>
        <w:rPr>
          <w:b/>
          <w:bCs/>
        </w:rPr>
        <w:t xml:space="preserve">Common stocks</w:t>
      </w:r>
      <w:r>
        <w:t xml:space="preserve"> </w:t>
      </w:r>
      <w:r>
        <w:t xml:space="preserve">(equities) represent</w:t>
      </w:r>
      <w:r>
        <w:t xml:space="preserve"> </w:t>
      </w:r>
      <w:r>
        <w:rPr>
          <w:b/>
          <w:bCs/>
        </w:rPr>
        <w:t xml:space="preserve">ownership shares</w:t>
      </w:r>
      <w:r>
        <w:t xml:space="preserve"> </w:t>
      </w:r>
      <w:r>
        <w:t xml:space="preserve">in a corporation. Each share entitles its owner to one vote on matters of corporate governance at the annual meeting and to a share of the financial benefits of ownership (such as any dividends the firm chooses to pay).</w:t>
      </w:r>
    </w:p>
    <w:p>
      <w:pPr>
        <w:pStyle w:val="BodyText"/>
      </w:pPr>
      <w:r>
        <w:t xml:space="preserve">A corporation is controlled by a</w:t>
      </w:r>
      <w:r>
        <w:t xml:space="preserve"> </w:t>
      </w:r>
      <w:r>
        <w:rPr>
          <w:b/>
          <w:bCs/>
        </w:rPr>
        <w:t xml:space="preserve">board of directors</w:t>
      </w:r>
      <w:r>
        <w:t xml:space="preserve"> </w:t>
      </w:r>
      <w:r>
        <w:t xml:space="preserve">elected by shareholders; the board hires managers to run the firm day to day and is charged with overseeing management in shareholders’ interests. Shareholders who cannot attend the annual meeting may vote by</w:t>
      </w:r>
      <w:r>
        <w:t xml:space="preserve"> </w:t>
      </w:r>
      <w:r>
        <w:rPr>
          <w:b/>
          <w:bCs/>
        </w:rPr>
        <w:t xml:space="preserve">proxy</w:t>
      </w:r>
      <w:r>
        <w:t xml:space="preserve">, empowering another party to vote in their name. Because management usually collects the vast majority of proxies, it typically enjoys considerable discretion - which can create</w:t>
      </w:r>
      <w:r>
        <w:t xml:space="preserve"> </w:t>
      </w:r>
      <w:r>
        <w:rPr>
          <w:b/>
          <w:bCs/>
        </w:rPr>
        <w:t xml:space="preserve">agency problems</w:t>
      </w:r>
      <w:r>
        <w:t xml:space="preserve"> </w:t>
      </w:r>
      <w:r>
        <w:t xml:space="preserve">(managers pursuing goals not aligned with shareholders). Mechanisms that mitigate agency problems include performance-based compensation, board and outside oversight, the threat of a</w:t>
      </w:r>
      <w:r>
        <w:t xml:space="preserve"> </w:t>
      </w:r>
      <w:r>
        <w:rPr>
          <w:b/>
          <w:bCs/>
        </w:rPr>
        <w:t xml:space="preserve">proxy contest</w:t>
      </w:r>
      <w:r>
        <w:t xml:space="preserve">, and the threat of a</w:t>
      </w:r>
      <w:r>
        <w:t xml:space="preserve"> </w:t>
      </w:r>
      <w:r>
        <w:rPr>
          <w:b/>
          <w:bCs/>
        </w:rPr>
        <w:t xml:space="preserve">takeover</w:t>
      </w:r>
      <w:r>
        <w:t xml:space="preserve">. A firm whose stock is not publicly traded is said to be</w:t>
      </w:r>
      <w:r>
        <w:t xml:space="preserve"> </w:t>
      </w:r>
      <w:r>
        <w:rPr>
          <w:b/>
          <w:bCs/>
        </w:rPr>
        <w:t xml:space="preserve">private</w:t>
      </w:r>
      <w:r>
        <w:t xml:space="preserve">.</w:t>
      </w:r>
    </w:p>
    <w:bookmarkEnd w:id="72"/>
    <w:bookmarkStart w:id="75" w:name="characteristics-of-common-stock"/>
    <w:p>
      <w:pPr>
        <w:pStyle w:val="Heading2"/>
      </w:pPr>
      <w:r>
        <w:t xml:space="preserve">2.3.2 Characteristics of Common Stock</w:t>
      </w:r>
    </w:p>
    <w:p>
      <w:pPr>
        <w:pStyle w:val="FirstParagraph"/>
      </w:pPr>
      <w:r>
        <w:t xml:space="preserve">Two features define common stock as an investment:</w:t>
      </w:r>
    </w:p>
    <w:p>
      <w:pPr>
        <w:pStyle w:val="Compact"/>
        <w:numPr>
          <w:ilvl w:val="0"/>
          <w:numId w:val="1012"/>
        </w:numPr>
      </w:pPr>
      <w:r>
        <w:rPr>
          <w:b/>
          <w:bCs/>
        </w:rPr>
        <w:t xml:space="preserve">Residual claim</w:t>
      </w:r>
      <w:r>
        <w:t xml:space="preserve"> </w:t>
      </w:r>
      <w:r>
        <w:t xml:space="preserve">- stockholders are</w:t>
      </w:r>
      <w:r>
        <w:t xml:space="preserve"> </w:t>
      </w:r>
      <w:r>
        <w:rPr>
          <w:b/>
          <w:bCs/>
        </w:rPr>
        <w:t xml:space="preserve">last in line</w:t>
      </w:r>
      <w:r>
        <w:t xml:space="preserve"> </w:t>
      </w:r>
      <w:r>
        <w:t xml:space="preserve">among claimants. In liquidation they receive what remains after all others (tax authorities, employees, suppliers, bondholders, other creditors) are paid; in a going concern they have claim to operating income left after interest and taxes, which management may pay out as dividends or reinvest.</w:t>
      </w:r>
    </w:p>
    <w:p>
      <w:pPr>
        <w:pStyle w:val="Compact"/>
        <w:numPr>
          <w:ilvl w:val="0"/>
          <w:numId w:val="1012"/>
        </w:numPr>
      </w:pPr>
      <w:r>
        <w:rPr>
          <w:b/>
          <w:bCs/>
        </w:rPr>
        <w:t xml:space="preserve">Limited liability</w:t>
      </w:r>
      <w:r>
        <w:t xml:space="preserve"> </w:t>
      </w:r>
      <w:r>
        <w:t xml:space="preserve">- the most a shareholder can lose is the original investment. Unlike owners of unincorporated businesses, shareholders are not personally liable for the firm’s obligations; at worst, their stock becomes worthless.</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73" name="Picture"/>
                  <a:graphic>
                    <a:graphicData uri="http://schemas.openxmlformats.org/drawingml/2006/picture">
                      <pic:pic>
                        <pic:nvPicPr>
                          <pic:cNvPr descr="/Applications/quarto/share/formats/docx/tip.png" id="74"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2.3</w:t>
            </w:r>
            <w:r>
              <w:t xml:space="preserve"> </w:t>
            </w:r>
            <w:r>
              <w:t xml:space="preserve">- (a) If you buy 100 shares of Intel common stock, to what are you entitled? (b) What is the most money you can make over the next year? (c) If you pay $30 per share, what is the most you could lose over the year?</w:t>
            </w:r>
            <w:r>
              <w:t xml:space="preserve"> </w:t>
            </w:r>
            <w:r>
              <w:rPr>
                <w:i/>
                <w:iCs/>
              </w:rPr>
              <w:t xml:space="preserve">(Solution at the end.)</w:t>
            </w:r>
          </w:p>
        </w:tc>
      </w:tr>
    </w:tbl>
    <w:bookmarkEnd w:id="75"/>
    <w:bookmarkStart w:id="76" w:name="stock-market-listings"/>
    <w:p>
      <w:pPr>
        <w:pStyle w:val="Heading2"/>
      </w:pPr>
      <w:r>
        <w:t xml:space="preserve">2.3.3 Stock Market Listings</w:t>
      </w:r>
    </w:p>
    <w:p>
      <w:pPr>
        <w:pStyle w:val="FirstParagraph"/>
      </w:pPr>
      <w:r>
        <w:rPr>
          <w:b/>
          <w:bCs/>
        </w:rPr>
        <w:t xml:space="preserve">Figure 2.8 - Listing of stocks traded on the New York Stock Exchange</w:t>
      </w:r>
      <w:r>
        <w:t xml:space="preserve"> </w:t>
      </w:r>
      <w:r>
        <w:t xml:space="preserve">(Oct. 8, 2022):</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Name</w:t>
            </w:r>
          </w:p>
        </w:tc>
        <w:tc>
          <w:tcPr/>
          <w:p>
            <w:pPr>
              <w:pStyle w:val="Compact"/>
            </w:pPr>
            <w:r>
              <w:t xml:space="preserve">Symbol</w:t>
            </w:r>
          </w:p>
        </w:tc>
        <w:tc>
          <w:tcPr/>
          <w:p>
            <w:pPr>
              <w:pStyle w:val="Compact"/>
            </w:pPr>
            <w:r>
              <w:t xml:space="preserve">Close</w:t>
            </w:r>
          </w:p>
        </w:tc>
        <w:tc>
          <w:tcPr/>
          <w:p>
            <w:pPr>
              <w:pStyle w:val="Compact"/>
            </w:pPr>
            <w:r>
              <w:t xml:space="preserve">Change</w:t>
            </w:r>
          </w:p>
        </w:tc>
        <w:tc>
          <w:tcPr/>
          <w:p>
            <w:pPr>
              <w:pStyle w:val="Compact"/>
            </w:pPr>
            <w:r>
              <w:t xml:space="preserve">Volume</w:t>
            </w:r>
          </w:p>
        </w:tc>
        <w:tc>
          <w:tcPr/>
          <w:p>
            <w:pPr>
              <w:pStyle w:val="Compact"/>
            </w:pPr>
            <w:r>
              <w:t xml:space="preserve">52-wk High</w:t>
            </w:r>
          </w:p>
        </w:tc>
        <w:tc>
          <w:tcPr/>
          <w:p>
            <w:pPr>
              <w:pStyle w:val="Compact"/>
            </w:pPr>
            <w:r>
              <w:t xml:space="preserve">52-wk Low</w:t>
            </w:r>
          </w:p>
        </w:tc>
        <w:tc>
          <w:tcPr/>
          <w:p>
            <w:pPr>
              <w:pStyle w:val="Compact"/>
            </w:pPr>
            <w:r>
              <w:t xml:space="preserve">Div</w:t>
            </w:r>
          </w:p>
        </w:tc>
        <w:tc>
          <w:tcPr/>
          <w:p>
            <w:pPr>
              <w:pStyle w:val="Compact"/>
            </w:pPr>
            <w:r>
              <w:t xml:space="preserve">Yield</w:t>
            </w:r>
          </w:p>
        </w:tc>
        <w:tc>
          <w:tcPr/>
          <w:p>
            <w:pPr>
              <w:pStyle w:val="Compact"/>
            </w:pPr>
            <w:r>
              <w:t xml:space="preserve">P/E</w:t>
            </w:r>
          </w:p>
        </w:tc>
      </w:tr>
      <w:tr>
        <w:tc>
          <w:tcPr/>
          <w:p>
            <w:pPr>
              <w:pStyle w:val="Compact"/>
            </w:pPr>
            <w:r>
              <w:t xml:space="preserve">Herbalife Nutrition</w:t>
            </w:r>
          </w:p>
        </w:tc>
        <w:tc>
          <w:tcPr/>
          <w:p>
            <w:pPr>
              <w:pStyle w:val="Compact"/>
            </w:pPr>
            <w:r>
              <w:t xml:space="preserve">HLF</w:t>
            </w:r>
          </w:p>
        </w:tc>
        <w:tc>
          <w:tcPr/>
          <w:p>
            <w:pPr>
              <w:pStyle w:val="Compact"/>
            </w:pPr>
            <w:r>
              <w:t xml:space="preserve">19.93</w:t>
            </w:r>
          </w:p>
        </w:tc>
        <w:tc>
          <w:tcPr/>
          <w:p>
            <w:pPr>
              <w:pStyle w:val="Compact"/>
            </w:pPr>
            <w:r>
              <w:t xml:space="preserve">-0.66</w:t>
            </w:r>
          </w:p>
        </w:tc>
        <w:tc>
          <w:tcPr/>
          <w:p>
            <w:pPr>
              <w:pStyle w:val="Compact"/>
            </w:pPr>
            <w:r>
              <w:t xml:space="preserve">716,359</w:t>
            </w:r>
          </w:p>
        </w:tc>
        <w:tc>
          <w:tcPr/>
          <w:p>
            <w:pPr>
              <w:pStyle w:val="Compact"/>
            </w:pPr>
            <w:r>
              <w:t xml:space="preserve">47.86</w:t>
            </w:r>
          </w:p>
        </w:tc>
        <w:tc>
          <w:tcPr/>
          <w:p>
            <w:pPr>
              <w:pStyle w:val="Compact"/>
            </w:pPr>
            <w:r>
              <w:t xml:space="preserve">19.30</w:t>
            </w:r>
          </w:p>
        </w:tc>
        <w:tc>
          <w:tcPr/>
          <w:p>
            <w:pPr>
              <w:pStyle w:val="Compact"/>
            </w:pPr>
            <w:r>
              <w:t xml:space="preserve">-</w:t>
            </w:r>
          </w:p>
        </w:tc>
        <w:tc>
          <w:tcPr/>
          <w:p>
            <w:pPr>
              <w:pStyle w:val="Compact"/>
            </w:pPr>
            <w:r>
              <w:t xml:space="preserve">-</w:t>
            </w:r>
          </w:p>
        </w:tc>
        <w:tc>
          <w:tcPr/>
          <w:p>
            <w:pPr>
              <w:pStyle w:val="Compact"/>
            </w:pPr>
            <w:r>
              <w:t xml:space="preserve">6.21</w:t>
            </w:r>
          </w:p>
        </w:tc>
      </w:tr>
      <w:tr>
        <w:tc>
          <w:tcPr/>
          <w:p>
            <w:pPr>
              <w:pStyle w:val="Compact"/>
            </w:pPr>
            <w:r>
              <w:t xml:space="preserve">Hershey</w:t>
            </w:r>
          </w:p>
        </w:tc>
        <w:tc>
          <w:tcPr/>
          <w:p>
            <w:pPr>
              <w:pStyle w:val="Compact"/>
            </w:pPr>
            <w:r>
              <w:t xml:space="preserve">HSY</w:t>
            </w:r>
          </w:p>
        </w:tc>
        <w:tc>
          <w:tcPr/>
          <w:p>
            <w:pPr>
              <w:pStyle w:val="Compact"/>
            </w:pPr>
            <w:r>
              <w:t xml:space="preserve">220.52</w:t>
            </w:r>
          </w:p>
        </w:tc>
        <w:tc>
          <w:tcPr/>
          <w:p>
            <w:pPr>
              <w:pStyle w:val="Compact"/>
            </w:pPr>
            <w:r>
              <w:t xml:space="preserve">-0.13</w:t>
            </w:r>
          </w:p>
        </w:tc>
        <w:tc>
          <w:tcPr/>
          <w:p>
            <w:pPr>
              <w:pStyle w:val="Compact"/>
            </w:pPr>
            <w:r>
              <w:t xml:space="preserve">947,288</w:t>
            </w:r>
          </w:p>
        </w:tc>
        <w:tc>
          <w:tcPr/>
          <w:p>
            <w:pPr>
              <w:pStyle w:val="Compact"/>
            </w:pPr>
            <w:r>
              <w:t xml:space="preserve">234.56</w:t>
            </w:r>
          </w:p>
        </w:tc>
        <w:tc>
          <w:tcPr/>
          <w:p>
            <w:pPr>
              <w:pStyle w:val="Compact"/>
            </w:pPr>
            <w:r>
              <w:t xml:space="preserve">172.72</w:t>
            </w:r>
          </w:p>
        </w:tc>
        <w:tc>
          <w:tcPr/>
          <w:p>
            <w:pPr>
              <w:pStyle w:val="Compact"/>
            </w:pPr>
            <w:r>
              <w:t xml:space="preserve">4.14</w:t>
            </w:r>
          </w:p>
        </w:tc>
        <w:tc>
          <w:tcPr/>
          <w:p>
            <w:pPr>
              <w:pStyle w:val="Compact"/>
            </w:pPr>
            <w:r>
              <w:t xml:space="preserve">1.88</w:t>
            </w:r>
          </w:p>
        </w:tc>
        <w:tc>
          <w:tcPr/>
          <w:p>
            <w:pPr>
              <w:pStyle w:val="Compact"/>
            </w:pPr>
            <w:r>
              <w:t xml:space="preserve">28.06</w:t>
            </w:r>
          </w:p>
        </w:tc>
      </w:tr>
      <w:tr>
        <w:tc>
          <w:tcPr/>
          <w:p>
            <w:pPr>
              <w:pStyle w:val="Compact"/>
            </w:pPr>
            <w:r>
              <w:t xml:space="preserve">Hess Corp</w:t>
            </w:r>
          </w:p>
        </w:tc>
        <w:tc>
          <w:tcPr/>
          <w:p>
            <w:pPr>
              <w:pStyle w:val="Compact"/>
            </w:pPr>
            <w:r>
              <w:t xml:space="preserve">HES</w:t>
            </w:r>
          </w:p>
        </w:tc>
        <w:tc>
          <w:tcPr/>
          <w:p>
            <w:pPr>
              <w:pStyle w:val="Compact"/>
            </w:pPr>
            <w:r>
              <w:t xml:space="preserve">128.20</w:t>
            </w:r>
          </w:p>
        </w:tc>
        <w:tc>
          <w:tcPr/>
          <w:p>
            <w:pPr>
              <w:pStyle w:val="Compact"/>
            </w:pPr>
            <w:r>
              <w:t xml:space="preserve">-2.18</w:t>
            </w:r>
          </w:p>
        </w:tc>
        <w:tc>
          <w:tcPr/>
          <w:p>
            <w:pPr>
              <w:pStyle w:val="Compact"/>
            </w:pPr>
            <w:r>
              <w:t xml:space="preserve">3,077,418</w:t>
            </w:r>
          </w:p>
        </w:tc>
        <w:tc>
          <w:tcPr/>
          <w:p>
            <w:pPr>
              <w:pStyle w:val="Compact"/>
            </w:pPr>
            <w:r>
              <w:t xml:space="preserve">131.83</w:t>
            </w:r>
          </w:p>
        </w:tc>
        <w:tc>
          <w:tcPr/>
          <w:p>
            <w:pPr>
              <w:pStyle w:val="Compact"/>
            </w:pPr>
            <w:r>
              <w:t xml:space="preserve">68.32</w:t>
            </w:r>
          </w:p>
        </w:tc>
        <w:tc>
          <w:tcPr/>
          <w:p>
            <w:pPr>
              <w:pStyle w:val="Compact"/>
            </w:pPr>
            <w:r>
              <w:t xml:space="preserve">1.50</w:t>
            </w:r>
          </w:p>
        </w:tc>
        <w:tc>
          <w:tcPr/>
          <w:p>
            <w:pPr>
              <w:pStyle w:val="Compact"/>
            </w:pPr>
            <w:r>
              <w:t xml:space="preserve">1.17</w:t>
            </w:r>
          </w:p>
        </w:tc>
        <w:tc>
          <w:tcPr/>
          <w:p>
            <w:pPr>
              <w:pStyle w:val="Compact"/>
            </w:pPr>
            <w:r>
              <w:t xml:space="preserve">27.16</w:t>
            </w:r>
          </w:p>
        </w:tc>
      </w:tr>
      <w:tr>
        <w:tc>
          <w:tcPr/>
          <w:p>
            <w:pPr>
              <w:pStyle w:val="Compact"/>
            </w:pPr>
            <w:r>
              <w:t xml:space="preserve">Hewlett Packard</w:t>
            </w:r>
          </w:p>
        </w:tc>
        <w:tc>
          <w:tcPr/>
          <w:p>
            <w:pPr>
              <w:pStyle w:val="Compact"/>
            </w:pPr>
            <w:r>
              <w:t xml:space="preserve">HPE</w:t>
            </w:r>
          </w:p>
        </w:tc>
        <w:tc>
          <w:tcPr/>
          <w:p>
            <w:pPr>
              <w:pStyle w:val="Compact"/>
            </w:pPr>
            <w:r>
              <w:t xml:space="preserve">12.46</w:t>
            </w:r>
          </w:p>
        </w:tc>
        <w:tc>
          <w:tcPr/>
          <w:p>
            <w:pPr>
              <w:pStyle w:val="Compact"/>
            </w:pPr>
            <w:r>
              <w:t xml:space="preserve">-0.45</w:t>
            </w:r>
          </w:p>
        </w:tc>
        <w:tc>
          <w:tcPr/>
          <w:p>
            <w:pPr>
              <w:pStyle w:val="Compact"/>
            </w:pPr>
            <w:r>
              <w:t xml:space="preserve">12,885,403</w:t>
            </w:r>
          </w:p>
        </w:tc>
        <w:tc>
          <w:tcPr/>
          <w:p>
            <w:pPr>
              <w:pStyle w:val="Compact"/>
            </w:pPr>
            <w:r>
              <w:t xml:space="preserve">17.76</w:t>
            </w:r>
          </w:p>
        </w:tc>
        <w:tc>
          <w:tcPr/>
          <w:p>
            <w:pPr>
              <w:pStyle w:val="Compact"/>
            </w:pPr>
            <w:r>
              <w:t xml:space="preserve">11.90</w:t>
            </w:r>
          </w:p>
        </w:tc>
        <w:tc>
          <w:tcPr/>
          <w:p>
            <w:pPr>
              <w:pStyle w:val="Compact"/>
            </w:pPr>
            <w:r>
              <w:t xml:space="preserve">0.48</w:t>
            </w:r>
          </w:p>
        </w:tc>
        <w:tc>
          <w:tcPr/>
          <w:p>
            <w:pPr>
              <w:pStyle w:val="Compact"/>
            </w:pPr>
            <w:r>
              <w:t xml:space="preserve">3.85</w:t>
            </w:r>
          </w:p>
        </w:tc>
        <w:tc>
          <w:tcPr/>
          <w:p>
            <w:pPr>
              <w:pStyle w:val="Compact"/>
            </w:pPr>
            <w:r>
              <w:t xml:space="preserve">4.45</w:t>
            </w:r>
          </w:p>
        </w:tc>
      </w:tr>
      <w:tr>
        <w:tc>
          <w:tcPr/>
          <w:p>
            <w:pPr>
              <w:pStyle w:val="Compact"/>
            </w:pPr>
            <w:r>
              <w:t xml:space="preserve">Home Depot</w:t>
            </w:r>
          </w:p>
        </w:tc>
        <w:tc>
          <w:tcPr/>
          <w:p>
            <w:pPr>
              <w:pStyle w:val="Compact"/>
            </w:pPr>
            <w:r>
              <w:t xml:space="preserve">HD</w:t>
            </w:r>
          </w:p>
        </w:tc>
        <w:tc>
          <w:tcPr/>
          <w:p>
            <w:pPr>
              <w:pStyle w:val="Compact"/>
            </w:pPr>
            <w:r>
              <w:t xml:space="preserve">284.32</w:t>
            </w:r>
          </w:p>
        </w:tc>
        <w:tc>
          <w:tcPr/>
          <w:p>
            <w:pPr>
              <w:pStyle w:val="Compact"/>
            </w:pPr>
            <w:r>
              <w:t xml:space="preserve">-6.07</w:t>
            </w:r>
          </w:p>
        </w:tc>
        <w:tc>
          <w:tcPr/>
          <w:p>
            <w:pPr>
              <w:pStyle w:val="Compact"/>
            </w:pPr>
            <w:r>
              <w:t xml:space="preserve">2,405,956</w:t>
            </w:r>
          </w:p>
        </w:tc>
        <w:tc>
          <w:tcPr/>
          <w:p>
            <w:pPr>
              <w:pStyle w:val="Compact"/>
            </w:pPr>
            <w:r>
              <w:t xml:space="preserve">420.61</w:t>
            </w:r>
          </w:p>
        </w:tc>
        <w:tc>
          <w:tcPr/>
          <w:p>
            <w:pPr>
              <w:pStyle w:val="Compact"/>
            </w:pPr>
            <w:r>
              <w:t xml:space="preserve">264.51</w:t>
            </w:r>
          </w:p>
        </w:tc>
        <w:tc>
          <w:tcPr/>
          <w:p>
            <w:pPr>
              <w:pStyle w:val="Compact"/>
            </w:pPr>
            <w:r>
              <w:t xml:space="preserve">7.60</w:t>
            </w:r>
          </w:p>
        </w:tc>
        <w:tc>
          <w:tcPr/>
          <w:p>
            <w:pPr>
              <w:pStyle w:val="Compact"/>
            </w:pPr>
            <w:r>
              <w:t xml:space="preserve">2.67</w:t>
            </w:r>
          </w:p>
        </w:tc>
        <w:tc>
          <w:tcPr/>
          <w:p>
            <w:pPr>
              <w:pStyle w:val="Compact"/>
            </w:pPr>
            <w:r>
              <w:t xml:space="preserve">17.46</w:t>
            </w:r>
          </w:p>
        </w:tc>
      </w:tr>
      <w:tr>
        <w:tc>
          <w:tcPr/>
          <w:p>
            <w:pPr>
              <w:pStyle w:val="Compact"/>
            </w:pPr>
            <w:r>
              <w:t xml:space="preserve">Honda</w:t>
            </w:r>
          </w:p>
        </w:tc>
        <w:tc>
          <w:tcPr/>
          <w:p>
            <w:pPr>
              <w:pStyle w:val="Compact"/>
            </w:pPr>
            <w:r>
              <w:t xml:space="preserve">HMC</w:t>
            </w:r>
          </w:p>
        </w:tc>
        <w:tc>
          <w:tcPr/>
          <w:p>
            <w:pPr>
              <w:pStyle w:val="Compact"/>
            </w:pPr>
            <w:r>
              <w:t xml:space="preserve">22.31</w:t>
            </w:r>
          </w:p>
        </w:tc>
        <w:tc>
          <w:tcPr/>
          <w:p>
            <w:pPr>
              <w:pStyle w:val="Compact"/>
            </w:pPr>
            <w:r>
              <w:t xml:space="preserve">-0.21</w:t>
            </w:r>
          </w:p>
        </w:tc>
        <w:tc>
          <w:tcPr/>
          <w:p>
            <w:pPr>
              <w:pStyle w:val="Compact"/>
            </w:pPr>
            <w:r>
              <w:t xml:space="preserve">1,196,641</w:t>
            </w:r>
          </w:p>
        </w:tc>
        <w:tc>
          <w:tcPr/>
          <w:p>
            <w:pPr>
              <w:pStyle w:val="Compact"/>
            </w:pPr>
            <w:r>
              <w:t xml:space="preserve">32.15</w:t>
            </w:r>
          </w:p>
        </w:tc>
        <w:tc>
          <w:tcPr/>
          <w:p>
            <w:pPr>
              <w:pStyle w:val="Compact"/>
            </w:pPr>
            <w:r>
              <w:t xml:space="preserve">21.53</w:t>
            </w:r>
          </w:p>
        </w:tc>
        <w:tc>
          <w:tcPr/>
          <w:p>
            <w:pPr>
              <w:pStyle w:val="Compact"/>
            </w:pPr>
            <w:r>
              <w:t xml:space="preserve">-</w:t>
            </w:r>
          </w:p>
        </w:tc>
        <w:tc>
          <w:tcPr/>
          <w:p>
            <w:pPr>
              <w:pStyle w:val="Compact"/>
            </w:pPr>
            <w:r>
              <w:t xml:space="preserve">-</w:t>
            </w:r>
          </w:p>
        </w:tc>
        <w:tc>
          <w:tcPr/>
          <w:p>
            <w:pPr>
              <w:pStyle w:val="Compact"/>
            </w:pPr>
            <w:r>
              <w:t xml:space="preserve">8.20</w:t>
            </w:r>
          </w:p>
        </w:tc>
      </w:tr>
      <w:tr>
        <w:tc>
          <w:tcPr/>
          <w:p>
            <w:pPr>
              <w:pStyle w:val="Compact"/>
            </w:pPr>
            <w:r>
              <w:t xml:space="preserve">Honeywell</w:t>
            </w:r>
          </w:p>
        </w:tc>
        <w:tc>
          <w:tcPr/>
          <w:p>
            <w:pPr>
              <w:pStyle w:val="Compact"/>
            </w:pPr>
            <w:r>
              <w:t xml:space="preserve">HON</w:t>
            </w:r>
          </w:p>
        </w:tc>
        <w:tc>
          <w:tcPr/>
          <w:p>
            <w:pPr>
              <w:pStyle w:val="Compact"/>
            </w:pPr>
            <w:r>
              <w:t xml:space="preserve">171.41</w:t>
            </w:r>
          </w:p>
        </w:tc>
        <w:tc>
          <w:tcPr/>
          <w:p>
            <w:pPr>
              <w:pStyle w:val="Compact"/>
            </w:pPr>
            <w:r>
              <w:t xml:space="preserve">-3.63</w:t>
            </w:r>
          </w:p>
        </w:tc>
        <w:tc>
          <w:tcPr/>
          <w:p>
            <w:pPr>
              <w:pStyle w:val="Compact"/>
            </w:pPr>
            <w:r>
              <w:t xml:space="preserve">2,959,695</w:t>
            </w:r>
          </w:p>
        </w:tc>
        <w:tc>
          <w:tcPr/>
          <w:p>
            <w:pPr>
              <w:pStyle w:val="Compact"/>
            </w:pPr>
            <w:r>
              <w:t xml:space="preserve">228.26</w:t>
            </w:r>
          </w:p>
        </w:tc>
        <w:tc>
          <w:tcPr/>
          <w:p>
            <w:pPr>
              <w:pStyle w:val="Compact"/>
            </w:pPr>
            <w:r>
              <w:t xml:space="preserve">166.63</w:t>
            </w:r>
          </w:p>
        </w:tc>
        <w:tc>
          <w:tcPr/>
          <w:p>
            <w:pPr>
              <w:pStyle w:val="Compact"/>
            </w:pPr>
            <w:r>
              <w:t xml:space="preserve">4.12</w:t>
            </w:r>
          </w:p>
        </w:tc>
        <w:tc>
          <w:tcPr/>
          <w:p>
            <w:pPr>
              <w:pStyle w:val="Compact"/>
            </w:pPr>
            <w:r>
              <w:t xml:space="preserve">2.40</w:t>
            </w:r>
          </w:p>
        </w:tc>
        <w:tc>
          <w:tcPr/>
          <w:p>
            <w:pPr>
              <w:pStyle w:val="Compact"/>
            </w:pPr>
            <w:r>
              <w:t xml:space="preserve">23.38</w:t>
            </w:r>
          </w:p>
        </w:tc>
      </w:tr>
    </w:tbl>
    <w:p>
      <w:pPr>
        <w:pStyle w:val="BodyText"/>
      </w:pPr>
      <w:r>
        <w:t xml:space="preserve">Consider the highlighted</w:t>
      </w:r>
      <w:r>
        <w:t xml:space="preserve"> </w:t>
      </w:r>
      <w:r>
        <w:rPr>
          <w:b/>
          <w:bCs/>
        </w:rPr>
        <w:t xml:space="preserve">Hershey (HSY)</w:t>
      </w:r>
      <w:r>
        <w:t xml:space="preserve"> </w:t>
      </w:r>
      <w:r>
        <w:t xml:space="preserve">listing: it closed at $220.52, down $0.13 from the prior day, on about 947,000 shares. The</w:t>
      </w:r>
      <w:r>
        <w:t xml:space="preserve"> </w:t>
      </w:r>
      <w:r>
        <w:rPr>
          <w:b/>
          <w:bCs/>
        </w:rPr>
        <w:t xml:space="preserve">dividend yield</w:t>
      </w:r>
      <w:r>
        <w:t xml:space="preserve"> </w:t>
      </w:r>
      <w:r>
        <w:t xml:space="preserve">- annual dividend per dollar of price - is</w:t>
      </w:r>
      <w:r>
        <w:t xml:space="preserve"> </w:t>
      </w:r>
      <m:oMath>
        <m:r>
          <m:rPr>
            <m:sty m:val="p"/>
          </m:rPr>
          <m:t>$</m:t>
        </m:r>
        <m:r>
          <m:t>4.14</m:t>
        </m:r>
        <m:r>
          <m:rPr>
            <m:sty m:val="p"/>
          </m:rPr>
          <m:t>/</m:t>
        </m:r>
        <m:r>
          <m:rPr>
            <m:sty m:val="p"/>
          </m:rPr>
          <m:t>$</m:t>
        </m:r>
        <m:r>
          <m:t>220.52</m:t>
        </m:r>
        <m:r>
          <m:rPr>
            <m:sty m:val="p"/>
          </m:rPr>
          <m:t>=</m:t>
        </m:r>
        <m:r>
          <m:t>1.88</m:t>
        </m:r>
        <m:r>
          <m:rPr>
            <m:sty m:val="p"/>
          </m:rPr>
          <m:t>%</m:t>
        </m:r>
      </m:oMath>
      <w:r>
        <w:t xml:space="preserve">. Dividend yield captures only part of a stock’s return; it ignores prospective</w:t>
      </w:r>
      <w:r>
        <w:t xml:space="preserve"> </w:t>
      </w:r>
      <w:r>
        <w:rPr>
          <w:b/>
          <w:bCs/>
        </w:rPr>
        <w:t xml:space="preserve">capital gains</w:t>
      </w:r>
      <w:r>
        <w:t xml:space="preserve"> </w:t>
      </w:r>
      <w:r>
        <w:t xml:space="preserve">(or losses). Low-dividend firms presumably offer greater capital-gain prospects, and yields vary widely across firms.</w:t>
      </w:r>
    </w:p>
    <w:p>
      <w:pPr>
        <w:pStyle w:val="BodyText"/>
      </w:pPr>
      <w:r>
        <w:t xml:space="preserve">The</w:t>
      </w:r>
      <w:r>
        <w:t xml:space="preserve"> </w:t>
      </w:r>
      <w:r>
        <w:rPr>
          <w:b/>
          <w:bCs/>
        </w:rPr>
        <w:t xml:space="preserve">P/E ratio</w:t>
      </w:r>
      <w:r>
        <w:t xml:space="preserve"> </w:t>
      </w:r>
      <w:r>
        <w:t xml:space="preserve">(price-to-earnings) is the current price divided by last year’s earnings per share - how much buyers pay per dollar of earnings. Hershey’s P/E is 28.06. Where dividend yield or P/E is blank, the firm pays no dividend or has zero/negative earnings.</w:t>
      </w:r>
    </w:p>
    <w:bookmarkEnd w:id="76"/>
    <w:bookmarkStart w:id="77" w:name="preferred-stock"/>
    <w:p>
      <w:pPr>
        <w:pStyle w:val="Heading2"/>
      </w:pPr>
      <w:r>
        <w:t xml:space="preserve">2.3.4 Preferred Stock</w:t>
      </w:r>
    </w:p>
    <w:p>
      <w:pPr>
        <w:pStyle w:val="FirstParagraph"/>
      </w:pPr>
      <w:r>
        <w:rPr>
          <w:b/>
          <w:bCs/>
        </w:rPr>
        <w:t xml:space="preserve">Preferred stock</w:t>
      </w:r>
      <w:r>
        <w:t xml:space="preserve"> </w:t>
      </w:r>
      <w:r>
        <w:t xml:space="preserve">blends features of equity and debt. Like a bond, it promises a</w:t>
      </w:r>
      <w:r>
        <w:t xml:space="preserve"> </w:t>
      </w:r>
      <w:r>
        <w:rPr>
          <w:b/>
          <w:bCs/>
        </w:rPr>
        <w:t xml:space="preserve">fixed stream of income</w:t>
      </w:r>
      <w:r>
        <w:t xml:space="preserve"> </w:t>
      </w:r>
      <w:r>
        <w:t xml:space="preserve">each year - resembling an infinite-maturity bond (a perpetuity) - and, also like a bond, it carries</w:t>
      </w:r>
      <w:r>
        <w:t xml:space="preserve"> </w:t>
      </w:r>
      <w:r>
        <w:rPr>
          <w:b/>
          <w:bCs/>
        </w:rPr>
        <w:t xml:space="preserve">no voting power</w:t>
      </w:r>
      <w:r>
        <w:t xml:space="preserve">.</w:t>
      </w:r>
    </w:p>
    <w:p>
      <w:pPr>
        <w:pStyle w:val="BodyText"/>
      </w:pPr>
      <w:r>
        <w:t xml:space="preserve">Yet preferred is an</w:t>
      </w:r>
      <w:r>
        <w:t xml:space="preserve"> </w:t>
      </w:r>
      <w:r>
        <w:rPr>
          <w:b/>
          <w:bCs/>
        </w:rPr>
        <w:t xml:space="preserve">equity</w:t>
      </w:r>
      <w:r>
        <w:t xml:space="preserve"> </w:t>
      </w:r>
      <w:r>
        <w:t xml:space="preserve">investment: the firm has</w:t>
      </w:r>
      <w:r>
        <w:t xml:space="preserve"> </w:t>
      </w:r>
      <w:r>
        <w:rPr>
          <w:b/>
          <w:bCs/>
        </w:rPr>
        <w:t xml:space="preserve">no contractual obligation</w:t>
      </w:r>
      <w:r>
        <w:t xml:space="preserve"> </w:t>
      </w:r>
      <w:r>
        <w:t xml:space="preserve">to pay preferred dividends, and failure to pay does</w:t>
      </w:r>
      <w:r>
        <w:t xml:space="preserve"> </w:t>
      </w:r>
      <w:r>
        <w:rPr>
          <w:i/>
          <w:iCs/>
        </w:rPr>
        <w:t xml:space="preserve">not</w:t>
      </w:r>
      <w:r>
        <w:t xml:space="preserve"> </w:t>
      </w:r>
      <w:r>
        <w:t xml:space="preserve">trigger bankruptcy (unlike missed interest on debt). Preferred dividends are usually</w:t>
      </w:r>
      <w:r>
        <w:t xml:space="preserve"> </w:t>
      </w:r>
      <w:r>
        <w:rPr>
          <w:b/>
          <w:bCs/>
        </w:rPr>
        <w:t xml:space="preserve">cumulative</w:t>
      </w:r>
      <w:r>
        <w:t xml:space="preserve"> </w:t>
      </w:r>
      <w:r>
        <w:t xml:space="preserve">- unpaid dividends accumulate and must be paid in full before any common dividend.</w:t>
      </w:r>
    </w:p>
    <w:p>
      <w:pPr>
        <w:pStyle w:val="Compact"/>
        <w:numPr>
          <w:ilvl w:val="0"/>
          <w:numId w:val="1013"/>
        </w:numPr>
      </w:pPr>
      <w:r>
        <w:rPr>
          <w:b/>
          <w:bCs/>
        </w:rPr>
        <w:t xml:space="preserve">Tax treatment:</w:t>
      </w:r>
      <w:r>
        <w:t xml:space="preserve"> </w:t>
      </w:r>
      <w:r>
        <w:t xml:space="preserve">preferred dividends are</w:t>
      </w:r>
      <w:r>
        <w:t xml:space="preserve"> </w:t>
      </w:r>
      <w:r>
        <w:rPr>
          <w:i/>
          <w:iCs/>
        </w:rPr>
        <w:t xml:space="preserve">not</w:t>
      </w:r>
      <w:r>
        <w:t xml:space="preserve"> </w:t>
      </w:r>
      <w:r>
        <w:t xml:space="preserve">tax-deductible for the issuing firm (unlike bond interest). But corporations may</w:t>
      </w:r>
      <w:r>
        <w:t xml:space="preserve"> </w:t>
      </w:r>
      <w:r>
        <w:rPr>
          <w:b/>
          <w:bCs/>
        </w:rPr>
        <w:t xml:space="preserve">exclude 50%</w:t>
      </w:r>
      <w:r>
        <w:t xml:space="preserve"> </w:t>
      </w:r>
      <w:r>
        <w:t xml:space="preserve">of dividends received from domestic corporations when computing taxable income, which makes preferred an attractive fixed-income holding for</w:t>
      </w:r>
      <w:r>
        <w:t xml:space="preserve"> </w:t>
      </w:r>
      <w:r>
        <w:rPr>
          <w:b/>
          <w:bCs/>
        </w:rPr>
        <w:t xml:space="preserve">other corporations</w:t>
      </w:r>
      <w:r>
        <w:t xml:space="preserve"> </w:t>
      </w:r>
      <w:r>
        <w:t xml:space="preserve">- individual investors, who cannot use the exclusion, generally find preferred yields unattractive. (The publisher’s slides note this exclusion; students should confirm the current statutory percentage.)</w:t>
      </w:r>
    </w:p>
    <w:p>
      <w:pPr>
        <w:pStyle w:val="Compact"/>
        <w:numPr>
          <w:ilvl w:val="0"/>
          <w:numId w:val="1013"/>
        </w:numPr>
      </w:pPr>
      <w:r>
        <w:rPr>
          <w:b/>
          <w:bCs/>
        </w:rPr>
        <w:t xml:space="preserve">Priority:</w:t>
      </w:r>
      <w:r>
        <w:t xml:space="preserve"> </w:t>
      </w:r>
      <w:r>
        <w:t xml:space="preserve">preferred ranks after bonds but before common in bankruptcy, yet often sells at lower yields, reflecting the value of the corporate dividend exclusion.</w:t>
      </w:r>
    </w:p>
    <w:p>
      <w:pPr>
        <w:pStyle w:val="Compact"/>
        <w:numPr>
          <w:ilvl w:val="0"/>
          <w:numId w:val="1013"/>
        </w:numPr>
      </w:pPr>
      <w:r>
        <w:rPr>
          <w:b/>
          <w:bCs/>
        </w:rPr>
        <w:t xml:space="preserve">Variations:</w:t>
      </w:r>
      <w:r>
        <w:t xml:space="preserve"> </w:t>
      </w:r>
      <w:r>
        <w:t xml:space="preserve">preferred can be</w:t>
      </w:r>
      <w:r>
        <w:t xml:space="preserve"> </w:t>
      </w:r>
      <w:r>
        <w:rPr>
          <w:b/>
          <w:bCs/>
        </w:rPr>
        <w:t xml:space="preserve">redeemable</w:t>
      </w:r>
      <w:r>
        <w:t xml:space="preserve"> </w:t>
      </w:r>
      <w:r>
        <w:t xml:space="preserve">(callable),</w:t>
      </w:r>
      <w:r>
        <w:t xml:space="preserve"> </w:t>
      </w:r>
      <w:r>
        <w:rPr>
          <w:b/>
          <w:bCs/>
        </w:rPr>
        <w:t xml:space="preserve">convertible</w:t>
      </w:r>
      <w:r>
        <w:t xml:space="preserve"> </w:t>
      </w:r>
      <w:r>
        <w:t xml:space="preserve">into common, or</w:t>
      </w:r>
      <w:r>
        <w:t xml:space="preserve"> </w:t>
      </w:r>
      <w:r>
        <w:rPr>
          <w:b/>
          <w:bCs/>
        </w:rPr>
        <w:t xml:space="preserve">adjustable-rate</w:t>
      </w:r>
      <w:r>
        <w:t xml:space="preserve"> </w:t>
      </w:r>
      <w:r>
        <w:t xml:space="preserve">(dividend tied to current market rates).</w:t>
      </w:r>
    </w:p>
    <w:bookmarkEnd w:id="77"/>
    <w:bookmarkStart w:id="78" w:name="depositary-receipts"/>
    <w:p>
      <w:pPr>
        <w:pStyle w:val="Heading2"/>
      </w:pPr>
      <w:r>
        <w:t xml:space="preserve">2.3.5 Depositary Receipts</w:t>
      </w:r>
    </w:p>
    <w:p>
      <w:pPr>
        <w:pStyle w:val="FirstParagraph"/>
      </w:pPr>
      <w:r>
        <w:rPr>
          <w:b/>
          <w:bCs/>
        </w:rPr>
        <w:t xml:space="preserve">American Depositary Receipts (ADRs)</w:t>
      </w:r>
      <w:r>
        <w:t xml:space="preserve"> </w:t>
      </w:r>
      <w:r>
        <w:t xml:space="preserve">are certificates traded in U.S. markets that represent ownership in the shares of a foreign company. Each ADR may correspond to a fraction of a share, one share, or several shares. Created to help foreign firms meet U.S. registration requirements, ADRs are the most common way for U.S. investors to directly invest in and trade foreign corporations’ shares.</w:t>
      </w:r>
    </w:p>
    <w:p>
      <w:r>
        <w:pict>
          <v:rect style="width:0;height:1.5pt" o:hralign="center" o:hrstd="t" o:hr="t"/>
        </w:pict>
      </w:r>
    </w:p>
    <w:bookmarkEnd w:id="78"/>
    <w:bookmarkEnd w:id="79"/>
    <w:bookmarkStart w:id="102" w:name="stock-and-bond-market-indexes"/>
    <w:p>
      <w:pPr>
        <w:pStyle w:val="Heading1"/>
      </w:pPr>
      <w:r>
        <w:t xml:space="preserve">2.4 Stock and Bond Market Indexes</w:t>
      </w:r>
    </w:p>
    <w:bookmarkStart w:id="80" w:name="stock-market-indexes"/>
    <w:p>
      <w:pPr>
        <w:pStyle w:val="Heading2"/>
      </w:pPr>
      <w:r>
        <w:t xml:space="preserve">2.4.1 Stock Market Indexes</w:t>
      </w:r>
    </w:p>
    <w:p>
      <w:pPr>
        <w:pStyle w:val="FirstParagraph"/>
      </w:pPr>
      <w:r>
        <w:t xml:space="preserve">The</w:t>
      </w:r>
      <w:r>
        <w:t xml:space="preserve"> </w:t>
      </w:r>
      <w:r>
        <w:rPr>
          <w:b/>
          <w:bCs/>
        </w:rPr>
        <w:t xml:space="preserve">Dow Jones Industrial Average</w:t>
      </w:r>
      <w:r>
        <w:t xml:space="preserve"> </w:t>
      </w:r>
      <w:r>
        <w:t xml:space="preserve">is a staple of the evening news, but it is only one of many indicators and far from the best. Broader indexes are published daily, along with several bond-market indexes and foreign indexes (e.g., the</w:t>
      </w:r>
      <w:r>
        <w:t xml:space="preserve"> </w:t>
      </w:r>
      <w:r>
        <w:rPr>
          <w:b/>
          <w:bCs/>
        </w:rPr>
        <w:t xml:space="preserve">Nikkei</w:t>
      </w:r>
      <w:r>
        <w:t xml:space="preserve"> </w:t>
      </w:r>
      <w:r>
        <w:t xml:space="preserve">of Tokyo, the</w:t>
      </w:r>
      <w:r>
        <w:t xml:space="preserve"> </w:t>
      </w:r>
      <w:r>
        <w:rPr>
          <w:b/>
          <w:bCs/>
        </w:rPr>
        <w:t xml:space="preserve">Financial Times</w:t>
      </w:r>
      <w:r>
        <w:t xml:space="preserve"> </w:t>
      </w:r>
      <w:r>
        <w:t xml:space="preserve">index of London). Market benchmark portfolios matter for both portfolio construction and performance evaluation. Indexes differ primarily in their</w:t>
      </w:r>
      <w:r>
        <w:t xml:space="preserve"> </w:t>
      </w:r>
      <w:r>
        <w:rPr>
          <w:b/>
          <w:bCs/>
        </w:rPr>
        <w:t xml:space="preserve">weighting scheme</w:t>
      </w:r>
      <w:r>
        <w:t xml:space="preserve">: price-weighted, market value-weighted, or equally weighted.</w:t>
      </w:r>
    </w:p>
    <w:bookmarkEnd w:id="80"/>
    <w:bookmarkStart w:id="87" w:name="the-dow-jones-industrial-average"/>
    <w:p>
      <w:pPr>
        <w:pStyle w:val="Heading2"/>
      </w:pPr>
      <w:r>
        <w:t xml:space="preserve">2.4.2 The Dow Jones Industrial Average</w:t>
      </w:r>
    </w:p>
    <w:p>
      <w:pPr>
        <w:pStyle w:val="FirstParagraph"/>
      </w:pPr>
      <w:r>
        <w:t xml:space="preserve">The</w:t>
      </w:r>
      <w:r>
        <w:t xml:space="preserve"> </w:t>
      </w:r>
      <w:r>
        <w:rPr>
          <w:b/>
          <w:bCs/>
        </w:rPr>
        <w:t xml:space="preserve">DJIA</w:t>
      </w:r>
      <w:r>
        <w:t xml:space="preserve"> </w:t>
      </w:r>
      <w:r>
        <w:t xml:space="preserve">tracks 30 large</w:t>
      </w:r>
      <w:r>
        <w:t xml:space="preserve"> </w:t>
      </w:r>
      <w:r>
        <w:t xml:space="preserve">“blue-chip”</w:t>
      </w:r>
      <w:r>
        <w:t xml:space="preserve"> </w:t>
      </w:r>
      <w:r>
        <w:t xml:space="preserve">firms and has been computed since 1896. It is a</w:t>
      </w:r>
      <w:r>
        <w:t xml:space="preserve"> </w:t>
      </w:r>
      <w:r>
        <w:rPr>
          <w:b/>
          <w:bCs/>
        </w:rPr>
        <w:t xml:space="preserve">price-weighted average</w:t>
      </w:r>
      <w:r>
        <w:t xml:space="preserve">: originally the sum of the 30 share prices divided by 30, so the percentage change in the average equals the percentage change in a portfolio holding</w:t>
      </w:r>
      <w:r>
        <w:t xml:space="preserve"> </w:t>
      </w:r>
      <w:r>
        <w:rPr>
          <w:b/>
          <w:bCs/>
        </w:rPr>
        <w:t xml:space="preserve">one share of each</w:t>
      </w:r>
      <w:r>
        <w:t xml:space="preserve"> </w:t>
      </w:r>
      <w:r>
        <w:t xml:space="preserve">stock. Because the investment in each firm is proportional to its</w:t>
      </w:r>
      <w:r>
        <w:t xml:space="preserve"> </w:t>
      </w:r>
      <w:r>
        <w:rPr>
          <w:b/>
          <w:bCs/>
        </w:rPr>
        <w:t xml:space="preserve">share price</w:t>
      </w:r>
      <w:r>
        <w:t xml:space="preserve">, high-priced stocks dominate the average.</w:t>
      </w:r>
    </w:p>
    <w:p>
      <w:pPr>
        <w:pStyle w:val="BodyText"/>
      </w:pPr>
      <w:r>
        <w:t xml:space="preserve">The following tables underpin the worked examples below.</w:t>
      </w:r>
    </w:p>
    <w:p>
      <w:pPr>
        <w:pStyle w:val="BodyText"/>
      </w:pPr>
      <w:r>
        <w:rPr>
          <w:b/>
          <w:bCs/>
        </w:rPr>
        <w:t xml:space="preserve">Table 2.3 - Data to construct stock price indexes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Stock</w:t>
            </w:r>
          </w:p>
        </w:tc>
        <w:tc>
          <w:tcPr/>
          <w:p>
            <w:pPr>
              <w:pStyle w:val="Compact"/>
            </w:pPr>
            <w:r>
              <w:t xml:space="preserve">Initial Price</w:t>
            </w:r>
          </w:p>
        </w:tc>
        <w:tc>
          <w:tcPr/>
          <w:p>
            <w:pPr>
              <w:pStyle w:val="Compact"/>
            </w:pPr>
            <w:r>
              <w:t xml:space="preserve">Final Price</w:t>
            </w:r>
          </w:p>
        </w:tc>
        <w:tc>
          <w:tcPr/>
          <w:p>
            <w:pPr>
              <w:pStyle w:val="Compact"/>
            </w:pPr>
            <w:r>
              <w:t xml:space="preserve">Shares (millions)</w:t>
            </w:r>
          </w:p>
        </w:tc>
        <w:tc>
          <w:tcPr/>
          <w:p>
            <w:pPr>
              <w:pStyle w:val="Compact"/>
            </w:pPr>
            <w:r>
              <w:t xml:space="preserve">Initial Value ($M)</w:t>
            </w:r>
          </w:p>
        </w:tc>
        <w:tc>
          <w:tcPr/>
          <w:p>
            <w:pPr>
              <w:pStyle w:val="Compact"/>
            </w:pPr>
            <w:r>
              <w:t xml:space="preserve">Final Value ($M)</w:t>
            </w:r>
          </w:p>
        </w:tc>
      </w:tr>
      <w:tr>
        <w:tc>
          <w:tcPr/>
          <w:p>
            <w:pPr>
              <w:pStyle w:val="Compact"/>
            </w:pPr>
            <w:r>
              <w:t xml:space="preserve">ABC</w:t>
            </w:r>
          </w:p>
        </w:tc>
        <w:tc>
          <w:tcPr/>
          <w:p>
            <w:pPr>
              <w:pStyle w:val="Compact"/>
            </w:pPr>
            <w:r>
              <w:t xml:space="preserve">$25</w:t>
            </w:r>
          </w:p>
        </w:tc>
        <w:tc>
          <w:tcPr/>
          <w:p>
            <w:pPr>
              <w:pStyle w:val="Compact"/>
            </w:pPr>
            <w:r>
              <w:t xml:space="preserve">$30</w:t>
            </w:r>
          </w:p>
        </w:tc>
        <w:tc>
          <w:tcPr/>
          <w:p>
            <w:pPr>
              <w:pStyle w:val="Compact"/>
            </w:pPr>
            <w:r>
              <w:t xml:space="preserve">20</w:t>
            </w:r>
          </w:p>
        </w:tc>
        <w:tc>
          <w:tcPr/>
          <w:p>
            <w:pPr>
              <w:pStyle w:val="Compact"/>
            </w:pPr>
            <w:r>
              <w:t xml:space="preserve">$500</w:t>
            </w:r>
          </w:p>
        </w:tc>
        <w:tc>
          <w:tcPr/>
          <w:p>
            <w:pPr>
              <w:pStyle w:val="Compact"/>
            </w:pPr>
            <w:r>
              <w:t xml:space="preserve">$600</w:t>
            </w:r>
          </w:p>
        </w:tc>
      </w:tr>
      <w:tr>
        <w:tc>
          <w:tcPr/>
          <w:p>
            <w:pPr>
              <w:pStyle w:val="Compact"/>
            </w:pPr>
            <w:r>
              <w:t xml:space="preserve">XYZ</w:t>
            </w:r>
          </w:p>
        </w:tc>
        <w:tc>
          <w:tcPr/>
          <w:p>
            <w:pPr>
              <w:pStyle w:val="Compact"/>
            </w:pPr>
            <w:r>
              <w:t xml:space="preserve">$100</w:t>
            </w:r>
          </w:p>
        </w:tc>
        <w:tc>
          <w:tcPr/>
          <w:p>
            <w:pPr>
              <w:pStyle w:val="Compact"/>
            </w:pPr>
            <w:r>
              <w:t xml:space="preserve">$90</w:t>
            </w:r>
          </w:p>
        </w:tc>
        <w:tc>
          <w:tcPr/>
          <w:p>
            <w:pPr>
              <w:pStyle w:val="Compact"/>
            </w:pPr>
            <w:r>
              <w:t xml:space="preserve">1</w:t>
            </w:r>
          </w:p>
        </w:tc>
        <w:tc>
          <w:tcPr/>
          <w:p>
            <w:pPr>
              <w:pStyle w:val="Compact"/>
            </w:pPr>
            <w:r>
              <w:t xml:space="preserve">$100</w:t>
            </w:r>
          </w:p>
        </w:tc>
        <w:tc>
          <w:tcPr/>
          <w:p>
            <w:pPr>
              <w:pStyle w:val="Compact"/>
            </w:pPr>
            <w:r>
              <w:t xml:space="preserve">$90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$600</w:t>
            </w:r>
          </w:p>
        </w:tc>
        <w:tc>
          <w:tcPr/>
          <w:p>
            <w:pPr>
              <w:pStyle w:val="Compact"/>
            </w:pPr>
            <w:r>
              <w:rPr>
                <w:b/>
                <w:bCs/>
              </w:rPr>
              <w:t xml:space="preserve">$690</w:t>
            </w:r>
          </w:p>
        </w:tc>
      </w:tr>
    </w:tbl>
    <w:p>
      <w:pPr>
        <w:pStyle w:val="BodyText"/>
      </w:pPr>
      <w:r>
        <w:rPr>
          <w:b/>
          <w:bCs/>
        </w:rPr>
        <w:t xml:space="preserve">Table 2.4 - Data to construct stock price indexes after a stock split</w:t>
      </w:r>
      <w:r>
        <w:t xml:space="preserve"> </w:t>
      </w:r>
      <w:r>
        <w:t xml:space="preserve">(XYZ splits 2-for-1)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Stock</w:t>
            </w:r>
          </w:p>
        </w:tc>
        <w:tc>
          <w:tcPr/>
          <w:p>
            <w:pPr>
              <w:pStyle w:val="Compact"/>
            </w:pPr>
            <w:r>
              <w:t xml:space="preserve">Initial Price</w:t>
            </w:r>
          </w:p>
        </w:tc>
        <w:tc>
          <w:tcPr/>
          <w:p>
            <w:pPr>
              <w:pStyle w:val="Compact"/>
            </w:pPr>
            <w:r>
              <w:t xml:space="preserve">Final Price</w:t>
            </w:r>
          </w:p>
        </w:tc>
        <w:tc>
          <w:tcPr/>
          <w:p>
            <w:pPr>
              <w:pStyle w:val="Compact"/>
            </w:pPr>
            <w:r>
              <w:t xml:space="preserve">Shares (millions)</w:t>
            </w:r>
          </w:p>
        </w:tc>
        <w:tc>
          <w:tcPr/>
          <w:p>
            <w:pPr>
              <w:pStyle w:val="Compact"/>
            </w:pPr>
            <w:r>
              <w:t xml:space="preserve">Initial Value ($M)</w:t>
            </w:r>
          </w:p>
        </w:tc>
        <w:tc>
          <w:tcPr/>
          <w:p>
            <w:pPr>
              <w:pStyle w:val="Compact"/>
            </w:pPr>
            <w:r>
              <w:t xml:space="preserve">Final Value ($M)</w:t>
            </w:r>
          </w:p>
        </w:tc>
      </w:tr>
      <w:tr>
        <w:tc>
          <w:tcPr/>
          <w:p>
            <w:pPr>
              <w:pStyle w:val="Compact"/>
            </w:pPr>
            <w:r>
              <w:t xml:space="preserve">ABC</w:t>
            </w:r>
          </w:p>
        </w:tc>
        <w:tc>
          <w:tcPr/>
          <w:p>
            <w:pPr>
              <w:pStyle w:val="Compact"/>
            </w:pPr>
            <w:r>
              <w:t xml:space="preserve">$25</w:t>
            </w:r>
          </w:p>
        </w:tc>
        <w:tc>
          <w:tcPr/>
          <w:p>
            <w:pPr>
              <w:pStyle w:val="Compact"/>
            </w:pPr>
            <w:r>
              <w:t xml:space="preserve">$30</w:t>
            </w:r>
          </w:p>
        </w:tc>
        <w:tc>
          <w:tcPr/>
          <w:p>
            <w:pPr>
              <w:pStyle w:val="Compact"/>
            </w:pPr>
            <w:r>
              <w:t xml:space="preserve">20</w:t>
            </w:r>
          </w:p>
        </w:tc>
        <w:tc>
          <w:tcPr/>
          <w:p>
            <w:pPr>
              <w:pStyle w:val="Compact"/>
            </w:pPr>
            <w:r>
              <w:t xml:space="preserve">$500</w:t>
            </w:r>
          </w:p>
        </w:tc>
        <w:tc>
          <w:tcPr/>
          <w:p>
            <w:pPr>
              <w:pStyle w:val="Compact"/>
            </w:pPr>
            <w:r>
              <w:t xml:space="preserve">$600</w:t>
            </w:r>
          </w:p>
        </w:tc>
      </w:tr>
      <w:tr>
        <w:tc>
          <w:tcPr/>
          <w:p>
            <w:pPr>
              <w:pStyle w:val="Compact"/>
            </w:pPr>
            <w:r>
              <w:t xml:space="preserve">XYZ</w:t>
            </w:r>
          </w:p>
        </w:tc>
        <w:tc>
          <w:tcPr/>
          <w:p>
            <w:pPr>
              <w:pStyle w:val="Compact"/>
            </w:pPr>
            <w:r>
              <w:t xml:space="preserve">$50</w:t>
            </w:r>
          </w:p>
        </w:tc>
        <w:tc>
          <w:tcPr/>
          <w:p>
            <w:pPr>
              <w:pStyle w:val="Compact"/>
            </w:pPr>
            <w:r>
              <w:t xml:space="preserve">$45</w:t>
            </w:r>
          </w:p>
        </w:tc>
        <w:tc>
          <w:tcPr/>
          <w:p>
            <w:pPr>
              <w:pStyle w:val="Compact"/>
            </w:pPr>
            <w:r>
              <w:t xml:space="preserve">1</w:t>
            </w:r>
          </w:p>
        </w:tc>
        <w:tc>
          <w:tcPr/>
          <w:p>
            <w:pPr>
              <w:pStyle w:val="Compact"/>
            </w:pPr>
            <w:r>
              <w:t xml:space="preserve">$100</w:t>
            </w:r>
          </w:p>
        </w:tc>
        <w:tc>
          <w:tcPr/>
          <w:p>
            <w:pPr>
              <w:pStyle w:val="Compact"/>
            </w:pPr>
            <w:r>
              <w:t xml:space="preserve">$90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$600</w:t>
            </w:r>
          </w:p>
        </w:tc>
        <w:tc>
          <w:tcPr/>
          <w:p>
            <w:pPr>
              <w:pStyle w:val="Compact"/>
            </w:pPr>
            <w:r>
              <w:rPr>
                <w:b/>
                <w:bCs/>
              </w:rPr>
              <w:t xml:space="preserve">$690</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Example 2.2 - Price-Weighted Average</w:t>
            </w:r>
          </w:p>
          <w:p>
            <w:pPr>
              <w:pStyle w:val="BodyText"/>
            </w:pPr>
            <w:pPr>
              <w:spacing w:after="16"/>
            </w:pPr>
            <w:r>
              <w:t xml:space="preserve">Using Table 2.3, a portfolio holding one share of each firm starts at</w:t>
            </w:r>
            <w:r>
              <w:t xml:space="preserve"> </w:t>
            </w:r>
            <m:oMath>
              <m:r>
                <m:rPr>
                  <m:sty m:val="p"/>
                </m:rPr>
                <m:t>$</m:t>
              </m:r>
              <m:r>
                <m:t>25</m:t>
              </m:r>
              <m:r>
                <m:rPr>
                  <m:sty m:val="p"/>
                </m:rPr>
                <m:t>+</m:t>
              </m:r>
              <m:r>
                <m:rPr>
                  <m:sty m:val="p"/>
                </m:rPr>
                <m:t>$</m:t>
              </m:r>
              <m:r>
                <m:t>100</m:t>
              </m:r>
              <m:r>
                <m:rPr>
                  <m:sty m:val="p"/>
                </m:rPr>
                <m:t>=</m:t>
              </m:r>
              <m:r>
                <m:rPr>
                  <m:sty m:val="p"/>
                </m:rPr>
                <m:t>$</m:t>
              </m:r>
              <m:r>
                <m:t>125</m:t>
              </m:r>
            </m:oMath>
            <w:r>
              <w:t xml:space="preserve"> </w:t>
            </w:r>
            <w:r>
              <w:t xml:space="preserve">and ends at</w:t>
            </w:r>
            <w:r>
              <w:t xml:space="preserve"> </w:t>
            </w:r>
            <m:oMath>
              <m:r>
                <m:rPr>
                  <m:sty m:val="p"/>
                </m:rPr>
                <m:t>$</m:t>
              </m:r>
              <m:r>
                <m:t>30</m:t>
              </m:r>
              <m:r>
                <m:rPr>
                  <m:sty m:val="p"/>
                </m:rPr>
                <m:t>+</m:t>
              </m:r>
              <m:r>
                <m:rPr>
                  <m:sty m:val="p"/>
                </m:rPr>
                <m:t>$</m:t>
              </m:r>
              <m:r>
                <m:t>90</m:t>
              </m:r>
              <m:r>
                <m:rPr>
                  <m:sty m:val="p"/>
                </m:rPr>
                <m:t>=</m:t>
              </m:r>
              <m:r>
                <m:rPr>
                  <m:sty m:val="p"/>
                </m:rPr>
                <m:t>$</m:t>
              </m:r>
              <m:r>
                <m:t>120</m:t>
              </m:r>
            </m:oMath>
            <w:r>
              <w:t xml:space="preserve">, a</w:t>
            </w:r>
            <w:r>
              <w:t xml:space="preserve"> </w:t>
            </w:r>
            <w:r>
              <w:rPr>
                <w:b/>
                <w:bCs/>
              </w:rPr>
              <w:t xml:space="preserve">-4%</w:t>
            </w:r>
            <w:r>
              <w:t xml:space="preserve"> </w:t>
            </w:r>
            <w:r>
              <w:t xml:space="preserve">change. The price-weighted index starts at</w:t>
            </w:r>
            <w:r>
              <w:t xml:space="preserve"> </w:t>
            </w:r>
            <m:oMath>
              <m:d>
                <m:dPr>
                  <m:begChr m:val="("/>
                  <m:sepChr m:val=""/>
                  <m:endChr m:val=")"/>
                  <m:grow/>
                </m:dPr>
                <m:e>
                  <m:r>
                    <m:t>25</m:t>
                  </m:r>
                  <m:r>
                    <m:rPr>
                      <m:sty m:val="p"/>
                    </m:rPr>
                    <m:t>+</m:t>
                  </m:r>
                  <m:r>
                    <m:t>100</m:t>
                  </m:r>
                </m:e>
              </m:d>
              <m:r>
                <m:rPr>
                  <m:sty m:val="p"/>
                </m:rPr>
                <m:t>/</m:t>
              </m:r>
              <m:r>
                <m:t>2</m:t>
              </m:r>
              <m:r>
                <m:rPr>
                  <m:sty m:val="p"/>
                </m:rPr>
                <m:t>=</m:t>
              </m:r>
              <m:r>
                <m:t>62.5</m:t>
              </m:r>
            </m:oMath>
            <w:r>
              <w:t xml:space="preserve"> </w:t>
            </w:r>
            <w:r>
              <w:t xml:space="preserve">and ends at</w:t>
            </w:r>
            <w:r>
              <w:t xml:space="preserve"> </w:t>
            </w:r>
            <m:oMath>
              <m:d>
                <m:dPr>
                  <m:begChr m:val="("/>
                  <m:sepChr m:val=""/>
                  <m:endChr m:val=")"/>
                  <m:grow/>
                </m:dPr>
                <m:e>
                  <m:r>
                    <m:t>30</m:t>
                  </m:r>
                  <m:r>
                    <m:rPr>
                      <m:sty m:val="p"/>
                    </m:rPr>
                    <m:t>+</m:t>
                  </m:r>
                  <m:r>
                    <m:t>90</m:t>
                  </m:r>
                </m:e>
              </m:d>
              <m:r>
                <m:rPr>
                  <m:sty m:val="p"/>
                </m:rPr>
                <m:t>/</m:t>
              </m:r>
              <m:r>
                <m:t>2</m:t>
              </m:r>
              <m:r>
                <m:rPr>
                  <m:sty m:val="p"/>
                </m:rPr>
                <m:t>=</m:t>
              </m:r>
              <m:r>
                <m:t>60</m:t>
              </m:r>
            </m:oMath>
            <w:r>
              <w:t xml:space="preserve">, also</w:t>
            </w:r>
            <w:r>
              <w:t xml:space="preserve"> </w:t>
            </w:r>
            <w:r>
              <w:rPr>
                <w:b/>
                <w:bCs/>
              </w:rPr>
              <w:t xml:space="preserve">-4%</w:t>
            </w:r>
            <w:r>
              <w:t xml:space="preserve">. Although ABC rose 20% while XYZ fell only 10%, the index dropped, because the higher-priced XYZ carries four times the weight of ABC. A high-priced stock can dominate a price-weighted average.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Example 2.3 - Splits and Price-Weighted Averages</w:t>
            </w:r>
          </w:p>
          <w:p>
            <w:pPr>
              <w:pStyle w:val="BodyText"/>
            </w:pPr>
            <w:pPr>
              <w:spacing w:after="16"/>
            </w:pPr>
            <w:r>
              <w:t xml:space="preserve">If XYZ splits 2-for-1, its price falls to $50 but the average should not fall. To keep the index unchanged, the</w:t>
            </w:r>
            <w:r>
              <w:t xml:space="preserve"> </w:t>
            </w:r>
            <w:r>
              <w:rPr>
                <w:b/>
                <w:bCs/>
              </w:rPr>
              <w:t xml:space="preserve">divisor</w:t>
            </w:r>
            <w:r>
              <w:t xml:space="preserve"> </w:t>
            </w:r>
            <w:r>
              <w:t xml:space="preserve">is reduced: solve</w:t>
            </w:r>
            <w:r>
              <w:t xml:space="preserve"> </w:t>
            </w:r>
            <m:oMath>
              <m:d>
                <m:dPr>
                  <m:begChr m:val="("/>
                  <m:sepChr m:val=""/>
                  <m:endChr m:val=")"/>
                  <m:grow/>
                </m:dPr>
                <m:e>
                  <m:r>
                    <m:t>25</m:t>
                  </m:r>
                  <m:r>
                    <m:rPr>
                      <m:sty m:val="p"/>
                    </m:rPr>
                    <m:t>+</m:t>
                  </m:r>
                  <m:r>
                    <m:t>50</m:t>
                  </m:r>
                </m:e>
              </m:d>
              <m:r>
                <m:rPr>
                  <m:sty m:val="p"/>
                </m:rPr>
                <m:t>/</m:t>
              </m:r>
              <m:r>
                <m:t>d</m:t>
              </m:r>
              <m:r>
                <m:rPr>
                  <m:sty m:val="p"/>
                </m:rPr>
                <m:t>=</m:t>
              </m:r>
              <m:r>
                <m:t>62.5</m:t>
              </m:r>
            </m:oMath>
            <w:r>
              <w:t xml:space="preserve">, giving</w:t>
            </w:r>
            <w:r>
              <w:t xml:space="preserve"> </w:t>
            </w:r>
            <m:oMath>
              <m:r>
                <m:t>d</m:t>
              </m:r>
              <m:r>
                <m:rPr>
                  <m:sty m:val="p"/>
                </m:rPr>
                <m:t>=</m:t>
              </m:r>
              <m:r>
                <m:t>1.20</m:t>
              </m:r>
            </m:oMath>
            <w:r>
              <w:t xml:space="preserve"> </w:t>
            </w:r>
            <w:r>
              <w:t xml:space="preserve">(down from 2.0). At period-end, ABC = $30 and XYZ = $45 (the same -10% return), so the average is</w:t>
            </w:r>
            <w:r>
              <w:t xml:space="preserve"> </w:t>
            </w:r>
            <m:oMath>
              <m:d>
                <m:dPr>
                  <m:begChr m:val="("/>
                  <m:sepChr m:val=""/>
                  <m:endChr m:val=")"/>
                  <m:grow/>
                </m:dPr>
                <m:e>
                  <m:r>
                    <m:t>30</m:t>
                  </m:r>
                  <m:r>
                    <m:rPr>
                      <m:sty m:val="p"/>
                    </m:rPr>
                    <m:t>+</m:t>
                  </m:r>
                  <m:r>
                    <m:t>45</m:t>
                  </m:r>
                </m:e>
              </m:d>
              <m:r>
                <m:rPr>
                  <m:sty m:val="p"/>
                </m:rPr>
                <m:t>/</m:t>
              </m:r>
              <m:r>
                <m:t>1.20</m:t>
              </m:r>
              <m:r>
                <m:rPr>
                  <m:sty m:val="p"/>
                </m:rPr>
                <m:t>=</m:t>
              </m:r>
              <m:r>
                <m:t>62.5</m:t>
              </m:r>
            </m:oMath>
            <w:r>
              <w:t xml:space="preserve"> </w:t>
            </w:r>
            <w:r>
              <w:t xml:space="preserve">- unchanged, a 0% return rather than the -4% before the split. The split lowers the weight of the poorer-performing XYZ, so the implicit weighting of a price-weighted average is somewhat arbitrary. Substitutions of one firm for another also require a divisor update; by early 2023 the DJIA divisor had fallen to about</w:t>
            </w:r>
            <w:r>
              <w:t xml:space="preserve"> </w:t>
            </w:r>
            <w:r>
              <w:rPr>
                <w:b/>
                <w:bCs/>
              </w:rPr>
              <w:t xml:space="preserve">0.152</w:t>
            </w:r>
            <w:r>
              <w:t xml:space="preserve">.</w:t>
            </w:r>
          </w:p>
        </w:tc>
      </w:tr>
    </w:tbl>
    <w:p>
      <w:pPr>
        <w:pStyle w:val="BodyText"/>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5" name="Picture"/>
                  <a:graphic>
                    <a:graphicData uri="http://schemas.openxmlformats.org/drawingml/2006/picture">
                      <pic:pic>
                        <pic:nvPicPr>
                          <pic:cNvPr descr="/Applications/quarto/share/formats/docx/tip.png" id="86"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2.4</w:t>
            </w:r>
            <w:r>
              <w:t xml:space="preserve"> </w:t>
            </w:r>
            <w:r>
              <w:t xml:space="preserve">- Suppose XYZ’s final price in Table 2.3 rises to $110 while ABC falls to $20. Find the percentage change in the price-weighted average, and compare it to the return on a portfolio holding one share of each company.</w:t>
            </w:r>
            <w:r>
              <w:t xml:space="preserve"> </w:t>
            </w:r>
            <w:r>
              <w:rPr>
                <w:i/>
                <w:iCs/>
              </w:rPr>
              <w:t xml:space="preserve">(Solution at the end.)</w:t>
            </w:r>
          </w:p>
        </w:tc>
      </w:tr>
    </w:tbl>
    <w:p>
      <w:pPr>
        <w:pStyle w:val="BodyText"/>
      </w:pPr>
      <w:r>
        <w:t xml:space="preserve">Because the Dow relies on so few firms, its composition is revised periodically to stay representative. Table 2.5 contrasts the 1928 and 2023 members - striking evidence of a century of economic change, as many</w:t>
      </w:r>
      <w:r>
        <w:t xml:space="preserve"> </w:t>
      </w:r>
      <w:r>
        <w:t xml:space="preserve">“bluest of the blue chip”</w:t>
      </w:r>
      <w:r>
        <w:t xml:space="preserve"> </w:t>
      </w:r>
      <w:r>
        <w:t xml:space="preserve">1928 firms no longer exist.</w:t>
      </w:r>
    </w:p>
    <w:p>
      <w:pPr>
        <w:pStyle w:val="BodyText"/>
      </w:pPr>
      <w:r>
        <w:rPr>
          <w:b/>
          <w:bCs/>
        </w:rPr>
        <w:t xml:space="preserve">Table 2.5 - Companies in the Dow Jones Industrial Average: 1928 and 2023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Dow Industrials in 1928</w:t>
            </w:r>
          </w:p>
        </w:tc>
        <w:tc>
          <w:tcPr/>
          <w:p>
            <w:pPr>
              <w:pStyle w:val="Compact"/>
            </w:pPr>
            <w:r>
              <w:t xml:space="preserve">Current Dow Company</w:t>
            </w:r>
          </w:p>
        </w:tc>
        <w:tc>
          <w:tcPr/>
          <w:p>
            <w:pPr>
              <w:pStyle w:val="Compact"/>
            </w:pPr>
            <w:r>
              <w:t xml:space="preserve">Ticker</w:t>
            </w:r>
          </w:p>
        </w:tc>
        <w:tc>
          <w:tcPr/>
          <w:p>
            <w:pPr>
              <w:pStyle w:val="Compact"/>
            </w:pPr>
            <w:r>
              <w:t xml:space="preserve">Industry</w:t>
            </w:r>
          </w:p>
        </w:tc>
        <w:tc>
          <w:tcPr/>
          <w:p>
            <w:pPr>
              <w:pStyle w:val="Compact"/>
            </w:pPr>
            <w:r>
              <w:t xml:space="preserve">Year Added</w:t>
            </w:r>
          </w:p>
        </w:tc>
      </w:tr>
      <w:tr>
        <w:tc>
          <w:tcPr/>
          <w:p>
            <w:pPr>
              <w:pStyle w:val="Compact"/>
            </w:pPr>
            <w:r>
              <w:t xml:space="preserve">Allied Chemical</w:t>
            </w:r>
          </w:p>
        </w:tc>
        <w:tc>
          <w:tcPr/>
          <w:p>
            <w:pPr>
              <w:pStyle w:val="Compact"/>
            </w:pPr>
            <w:r>
              <w:t xml:space="preserve">American Express</w:t>
            </w:r>
          </w:p>
        </w:tc>
        <w:tc>
          <w:tcPr/>
          <w:p>
            <w:pPr>
              <w:pStyle w:val="Compact"/>
            </w:pPr>
            <w:r>
              <w:t xml:space="preserve">AXP</w:t>
            </w:r>
          </w:p>
        </w:tc>
        <w:tc>
          <w:tcPr/>
          <w:p>
            <w:pPr>
              <w:pStyle w:val="Compact"/>
            </w:pPr>
            <w:r>
              <w:t xml:space="preserve">Consumer finance</w:t>
            </w:r>
          </w:p>
        </w:tc>
        <w:tc>
          <w:tcPr/>
          <w:p>
            <w:pPr>
              <w:pStyle w:val="Compact"/>
            </w:pPr>
            <w:r>
              <w:t xml:space="preserve">1982</w:t>
            </w:r>
          </w:p>
        </w:tc>
      </w:tr>
      <w:tr>
        <w:tc>
          <w:tcPr/>
          <w:p>
            <w:pPr>
              <w:pStyle w:val="Compact"/>
            </w:pPr>
            <w:r>
              <w:t xml:space="preserve">American Can</w:t>
            </w:r>
          </w:p>
        </w:tc>
        <w:tc>
          <w:tcPr/>
          <w:p>
            <w:pPr>
              <w:pStyle w:val="Compact"/>
            </w:pPr>
            <w:r>
              <w:t xml:space="preserve">Procter &amp; Gamble</w:t>
            </w:r>
          </w:p>
        </w:tc>
        <w:tc>
          <w:tcPr/>
          <w:p>
            <w:pPr>
              <w:pStyle w:val="Compact"/>
            </w:pPr>
            <w:r>
              <w:t xml:space="preserve">PG</w:t>
            </w:r>
          </w:p>
        </w:tc>
        <w:tc>
          <w:tcPr/>
          <w:p>
            <w:pPr>
              <w:pStyle w:val="Compact"/>
            </w:pPr>
            <w:r>
              <w:t xml:space="preserve">Household products</w:t>
            </w:r>
          </w:p>
        </w:tc>
        <w:tc>
          <w:tcPr/>
          <w:p>
            <w:pPr>
              <w:pStyle w:val="Compact"/>
            </w:pPr>
            <w:r>
              <w:t xml:space="preserve">1932</w:t>
            </w:r>
          </w:p>
        </w:tc>
      </w:tr>
      <w:tr>
        <w:tc>
          <w:tcPr/>
          <w:p>
            <w:pPr>
              <w:pStyle w:val="Compact"/>
            </w:pPr>
            <w:r>
              <w:t xml:space="preserve">American Smelting</w:t>
            </w:r>
          </w:p>
        </w:tc>
        <w:tc>
          <w:tcPr/>
          <w:p>
            <w:pPr>
              <w:pStyle w:val="Compact"/>
            </w:pPr>
            <w:r>
              <w:t xml:space="preserve">Salesforce.com</w:t>
            </w:r>
          </w:p>
        </w:tc>
        <w:tc>
          <w:tcPr/>
          <w:p>
            <w:pPr>
              <w:pStyle w:val="Compact"/>
            </w:pPr>
            <w:r>
              <w:t xml:space="preserve">CRM</w:t>
            </w:r>
          </w:p>
        </w:tc>
        <w:tc>
          <w:tcPr/>
          <w:p>
            <w:pPr>
              <w:pStyle w:val="Compact"/>
            </w:pPr>
            <w:r>
              <w:t xml:space="preserve">Business software</w:t>
            </w:r>
          </w:p>
        </w:tc>
        <w:tc>
          <w:tcPr/>
          <w:p>
            <w:pPr>
              <w:pStyle w:val="Compact"/>
            </w:pPr>
            <w:r>
              <w:t xml:space="preserve">2020</w:t>
            </w:r>
          </w:p>
        </w:tc>
      </w:tr>
      <w:tr>
        <w:tc>
          <w:tcPr/>
          <w:p>
            <w:pPr>
              <w:pStyle w:val="Compact"/>
            </w:pPr>
            <w:r>
              <w:t xml:space="preserve">American Sugar</w:t>
            </w:r>
          </w:p>
        </w:tc>
        <w:tc>
          <w:tcPr/>
          <w:p>
            <w:pPr>
              <w:pStyle w:val="Compact"/>
            </w:pPr>
            <w:r>
              <w:t xml:space="preserve">Amgen</w:t>
            </w:r>
          </w:p>
        </w:tc>
        <w:tc>
          <w:tcPr/>
          <w:p>
            <w:pPr>
              <w:pStyle w:val="Compact"/>
            </w:pPr>
            <w:r>
              <w:t xml:space="preserve">AMGN</w:t>
            </w:r>
          </w:p>
        </w:tc>
        <w:tc>
          <w:tcPr/>
          <w:p>
            <w:pPr>
              <w:pStyle w:val="Compact"/>
            </w:pPr>
            <w:r>
              <w:t xml:space="preserve">Drug manufacturers</w:t>
            </w:r>
          </w:p>
        </w:tc>
        <w:tc>
          <w:tcPr/>
          <w:p>
            <w:pPr>
              <w:pStyle w:val="Compact"/>
            </w:pPr>
            <w:r>
              <w:t xml:space="preserve">2020</w:t>
            </w:r>
          </w:p>
        </w:tc>
      </w:tr>
      <w:tr>
        <w:tc>
          <w:tcPr/>
          <w:p>
            <w:pPr>
              <w:pStyle w:val="Compact"/>
            </w:pPr>
            <w:r>
              <w:t xml:space="preserve">American Tobacco</w:t>
            </w:r>
          </w:p>
        </w:tc>
        <w:tc>
          <w:tcPr/>
          <w:p>
            <w:pPr>
              <w:pStyle w:val="Compact"/>
            </w:pPr>
            <w:r>
              <w:t xml:space="preserve">Goldman Sachs</w:t>
            </w:r>
          </w:p>
        </w:tc>
        <w:tc>
          <w:tcPr/>
          <w:p>
            <w:pPr>
              <w:pStyle w:val="Compact"/>
            </w:pPr>
            <w:r>
              <w:t xml:space="preserve">GS</w:t>
            </w:r>
          </w:p>
        </w:tc>
        <w:tc>
          <w:tcPr/>
          <w:p>
            <w:pPr>
              <w:pStyle w:val="Compact"/>
            </w:pPr>
            <w:r>
              <w:t xml:space="preserve">Investment banking</w:t>
            </w:r>
          </w:p>
        </w:tc>
        <w:tc>
          <w:tcPr/>
          <w:p>
            <w:pPr>
              <w:pStyle w:val="Compact"/>
            </w:pPr>
            <w:r>
              <w:t xml:space="preserve">2013</w:t>
            </w:r>
          </w:p>
        </w:tc>
      </w:tr>
      <w:tr>
        <w:tc>
          <w:tcPr/>
          <w:p>
            <w:pPr>
              <w:pStyle w:val="Compact"/>
            </w:pPr>
            <w:r>
              <w:t xml:space="preserve">Atlantic Refining</w:t>
            </w:r>
          </w:p>
        </w:tc>
        <w:tc>
          <w:tcPr/>
          <w:p>
            <w:pPr>
              <w:pStyle w:val="Compact"/>
            </w:pPr>
            <w:r>
              <w:t xml:space="preserve">Johnson &amp; Johnson</w:t>
            </w:r>
          </w:p>
        </w:tc>
        <w:tc>
          <w:tcPr/>
          <w:p>
            <w:pPr>
              <w:pStyle w:val="Compact"/>
            </w:pPr>
            <w:r>
              <w:t xml:space="preserve">JNJ</w:t>
            </w:r>
          </w:p>
        </w:tc>
        <w:tc>
          <w:tcPr/>
          <w:p>
            <w:pPr>
              <w:pStyle w:val="Compact"/>
            </w:pPr>
            <w:r>
              <w:t xml:space="preserve">Pharmaceuticals</w:t>
            </w:r>
          </w:p>
        </w:tc>
        <w:tc>
          <w:tcPr/>
          <w:p>
            <w:pPr>
              <w:pStyle w:val="Compact"/>
            </w:pPr>
            <w:r>
              <w:t xml:space="preserve">1997</w:t>
            </w:r>
          </w:p>
        </w:tc>
      </w:tr>
      <w:tr>
        <w:tc>
          <w:tcPr/>
          <w:p>
            <w:pPr>
              <w:pStyle w:val="Compact"/>
            </w:pPr>
            <w:r>
              <w:t xml:space="preserve">Bethlehem Steel</w:t>
            </w:r>
          </w:p>
        </w:tc>
        <w:tc>
          <w:tcPr/>
          <w:p>
            <w:pPr>
              <w:pStyle w:val="Compact"/>
            </w:pPr>
            <w:r>
              <w:t xml:space="preserve">McDonald’s</w:t>
            </w:r>
          </w:p>
        </w:tc>
        <w:tc>
          <w:tcPr/>
          <w:p>
            <w:pPr>
              <w:pStyle w:val="Compact"/>
            </w:pPr>
            <w:r>
              <w:t xml:space="preserve">MCD</w:t>
            </w:r>
          </w:p>
        </w:tc>
        <w:tc>
          <w:tcPr/>
          <w:p>
            <w:pPr>
              <w:pStyle w:val="Compact"/>
            </w:pPr>
            <w:r>
              <w:t xml:space="preserve">Restaurants</w:t>
            </w:r>
          </w:p>
        </w:tc>
        <w:tc>
          <w:tcPr/>
          <w:p>
            <w:pPr>
              <w:pStyle w:val="Compact"/>
            </w:pPr>
            <w:r>
              <w:t xml:space="preserve">1985</w:t>
            </w:r>
          </w:p>
        </w:tc>
      </w:tr>
      <w:tr>
        <w:tc>
          <w:tcPr/>
          <w:p>
            <w:pPr>
              <w:pStyle w:val="Compact"/>
            </w:pPr>
            <w:r>
              <w:t xml:space="preserve">Chrysler</w:t>
            </w:r>
          </w:p>
        </w:tc>
        <w:tc>
          <w:tcPr/>
          <w:p>
            <w:pPr>
              <w:pStyle w:val="Compact"/>
            </w:pPr>
            <w:r>
              <w:t xml:space="preserve">IBM</w:t>
            </w:r>
          </w:p>
        </w:tc>
        <w:tc>
          <w:tcPr/>
          <w:p>
            <w:pPr>
              <w:pStyle w:val="Compact"/>
            </w:pPr>
            <w:r>
              <w:t xml:space="preserve">IBM</w:t>
            </w:r>
          </w:p>
        </w:tc>
        <w:tc>
          <w:tcPr/>
          <w:p>
            <w:pPr>
              <w:pStyle w:val="Compact"/>
            </w:pPr>
            <w:r>
              <w:t xml:space="preserve">Computer services</w:t>
            </w:r>
          </w:p>
        </w:tc>
        <w:tc>
          <w:tcPr/>
          <w:p>
            <w:pPr>
              <w:pStyle w:val="Compact"/>
            </w:pPr>
            <w:r>
              <w:t xml:space="preserve">1979</w:t>
            </w:r>
          </w:p>
        </w:tc>
      </w:tr>
      <w:tr>
        <w:tc>
          <w:tcPr/>
          <w:p>
            <w:pPr>
              <w:pStyle w:val="Compact"/>
            </w:pPr>
            <w:r>
              <w:t xml:space="preserve">General Electric</w:t>
            </w:r>
          </w:p>
        </w:tc>
        <w:tc>
          <w:tcPr/>
          <w:p>
            <w:pPr>
              <w:pStyle w:val="Compact"/>
            </w:pPr>
            <w:r>
              <w:t xml:space="preserve">Honeywell Int’l</w:t>
            </w:r>
          </w:p>
        </w:tc>
        <w:tc>
          <w:tcPr/>
          <w:p>
            <w:pPr>
              <w:pStyle w:val="Compact"/>
            </w:pPr>
            <w:r>
              <w:t xml:space="preserve">HON</w:t>
            </w:r>
          </w:p>
        </w:tc>
        <w:tc>
          <w:tcPr/>
          <w:p>
            <w:pPr>
              <w:pStyle w:val="Compact"/>
            </w:pPr>
            <w:r>
              <w:t xml:space="preserve">Industrial machinery</w:t>
            </w:r>
          </w:p>
        </w:tc>
        <w:tc>
          <w:tcPr/>
          <w:p>
            <w:pPr>
              <w:pStyle w:val="Compact"/>
            </w:pPr>
            <w:r>
              <w:t xml:space="preserve">2020</w:t>
            </w:r>
          </w:p>
        </w:tc>
      </w:tr>
      <w:tr>
        <w:tc>
          <w:tcPr/>
          <w:p>
            <w:pPr>
              <w:pStyle w:val="Compact"/>
            </w:pPr>
            <w:r>
              <w:t xml:space="preserve">General Motors</w:t>
            </w:r>
          </w:p>
        </w:tc>
        <w:tc>
          <w:tcPr/>
          <w:p>
            <w:pPr>
              <w:pStyle w:val="Compact"/>
            </w:pPr>
            <w:r>
              <w:t xml:space="preserve">Intel</w:t>
            </w:r>
          </w:p>
        </w:tc>
        <w:tc>
          <w:tcPr/>
          <w:p>
            <w:pPr>
              <w:pStyle w:val="Compact"/>
            </w:pPr>
            <w:r>
              <w:t xml:space="preserve">INTC</w:t>
            </w:r>
          </w:p>
        </w:tc>
        <w:tc>
          <w:tcPr/>
          <w:p>
            <w:pPr>
              <w:pStyle w:val="Compact"/>
            </w:pPr>
            <w:r>
              <w:t xml:space="preserve">Semiconductors</w:t>
            </w:r>
          </w:p>
        </w:tc>
        <w:tc>
          <w:tcPr/>
          <w:p>
            <w:pPr>
              <w:pStyle w:val="Compact"/>
            </w:pPr>
            <w:r>
              <w:t xml:space="preserve">1999</w:t>
            </w:r>
          </w:p>
        </w:tc>
      </w:tr>
      <w:tr>
        <w:tc>
          <w:tcPr/>
          <w:p>
            <w:pPr>
              <w:pStyle w:val="Compact"/>
            </w:pPr>
            <w:r>
              <w:t xml:space="preserve">General Railway Signal</w:t>
            </w:r>
          </w:p>
        </w:tc>
        <w:tc>
          <w:tcPr/>
          <w:p>
            <w:pPr>
              <w:pStyle w:val="Compact"/>
            </w:pPr>
            <w:r>
              <w:t xml:space="preserve">Merck</w:t>
            </w:r>
          </w:p>
        </w:tc>
        <w:tc>
          <w:tcPr/>
          <w:p>
            <w:pPr>
              <w:pStyle w:val="Compact"/>
            </w:pPr>
            <w:r>
              <w:t xml:space="preserve">MRK</w:t>
            </w:r>
          </w:p>
        </w:tc>
        <w:tc>
          <w:tcPr/>
          <w:p>
            <w:pPr>
              <w:pStyle w:val="Compact"/>
            </w:pPr>
            <w:r>
              <w:t xml:space="preserve">Pharmaceuticals</w:t>
            </w:r>
          </w:p>
        </w:tc>
        <w:tc>
          <w:tcPr/>
          <w:p>
            <w:pPr>
              <w:pStyle w:val="Compact"/>
            </w:pPr>
            <w:r>
              <w:t xml:space="preserve">1979</w:t>
            </w:r>
          </w:p>
        </w:tc>
      </w:tr>
      <w:tr>
        <w:tc>
          <w:tcPr/>
          <w:p>
            <w:pPr>
              <w:pStyle w:val="Compact"/>
            </w:pPr>
            <w:r>
              <w:t xml:space="preserve">Goodrich</w:t>
            </w:r>
          </w:p>
        </w:tc>
        <w:tc>
          <w:tcPr/>
          <w:p>
            <w:pPr>
              <w:pStyle w:val="Compact"/>
            </w:pPr>
            <w:r>
              <w:t xml:space="preserve">Verizon</w:t>
            </w:r>
          </w:p>
        </w:tc>
        <w:tc>
          <w:tcPr/>
          <w:p>
            <w:pPr>
              <w:pStyle w:val="Compact"/>
            </w:pPr>
            <w:r>
              <w:t xml:space="preserve">VZ</w:t>
            </w:r>
          </w:p>
        </w:tc>
        <w:tc>
          <w:tcPr/>
          <w:p>
            <w:pPr>
              <w:pStyle w:val="Compact"/>
            </w:pPr>
            <w:r>
              <w:t xml:space="preserve">Telecommunications</w:t>
            </w:r>
          </w:p>
        </w:tc>
        <w:tc>
          <w:tcPr/>
          <w:p>
            <w:pPr>
              <w:pStyle w:val="Compact"/>
            </w:pPr>
            <w:r>
              <w:t xml:space="preserve">2004</w:t>
            </w:r>
          </w:p>
        </w:tc>
      </w:tr>
      <w:tr>
        <w:tc>
          <w:tcPr/>
          <w:p>
            <w:pPr>
              <w:pStyle w:val="Compact"/>
            </w:pPr>
            <w:r>
              <w:t xml:space="preserve">International Harvester</w:t>
            </w:r>
          </w:p>
        </w:tc>
        <w:tc>
          <w:tcPr/>
          <w:p>
            <w:pPr>
              <w:pStyle w:val="Compact"/>
            </w:pPr>
            <w:r>
              <w:t xml:space="preserve">Chevron</w:t>
            </w:r>
          </w:p>
        </w:tc>
        <w:tc>
          <w:tcPr/>
          <w:p>
            <w:pPr>
              <w:pStyle w:val="Compact"/>
            </w:pPr>
            <w:r>
              <w:t xml:space="preserve">CVX</w:t>
            </w:r>
          </w:p>
        </w:tc>
        <w:tc>
          <w:tcPr/>
          <w:p>
            <w:pPr>
              <w:pStyle w:val="Compact"/>
            </w:pPr>
            <w:r>
              <w:t xml:space="preserve">Oil and gas</w:t>
            </w:r>
          </w:p>
        </w:tc>
        <w:tc>
          <w:tcPr/>
          <w:p>
            <w:pPr>
              <w:pStyle w:val="Compact"/>
            </w:pPr>
            <w:r>
              <w:t xml:space="preserve">2008</w:t>
            </w:r>
          </w:p>
        </w:tc>
      </w:tr>
      <w:tr>
        <w:tc>
          <w:tcPr/>
          <w:p>
            <w:pPr>
              <w:pStyle w:val="Compact"/>
            </w:pPr>
            <w:r>
              <w:t xml:space="preserve">International Nickel</w:t>
            </w:r>
          </w:p>
        </w:tc>
        <w:tc>
          <w:tcPr/>
          <w:p>
            <w:pPr>
              <w:pStyle w:val="Compact"/>
            </w:pPr>
            <w:r>
              <w:t xml:space="preserve">Caterpillar</w:t>
            </w:r>
          </w:p>
        </w:tc>
        <w:tc>
          <w:tcPr/>
          <w:p>
            <w:pPr>
              <w:pStyle w:val="Compact"/>
            </w:pPr>
            <w:r>
              <w:t xml:space="preserve">CAT</w:t>
            </w:r>
          </w:p>
        </w:tc>
        <w:tc>
          <w:tcPr/>
          <w:p>
            <w:pPr>
              <w:pStyle w:val="Compact"/>
            </w:pPr>
            <w:r>
              <w:t xml:space="preserve">Construction</w:t>
            </w:r>
          </w:p>
        </w:tc>
        <w:tc>
          <w:tcPr/>
          <w:p>
            <w:pPr>
              <w:pStyle w:val="Compact"/>
            </w:pPr>
            <w:r>
              <w:t xml:space="preserve">1991</w:t>
            </w:r>
          </w:p>
        </w:tc>
      </w:tr>
      <w:tr>
        <w:tc>
          <w:tcPr/>
          <w:p>
            <w:pPr>
              <w:pStyle w:val="Compact"/>
            </w:pPr>
            <w:r>
              <w:t xml:space="preserve">Mack Trucks</w:t>
            </w:r>
          </w:p>
        </w:tc>
        <w:tc>
          <w:tcPr/>
          <w:p>
            <w:pPr>
              <w:pStyle w:val="Compact"/>
            </w:pPr>
            <w:r>
              <w:t xml:space="preserve">Microsoft</w:t>
            </w:r>
          </w:p>
        </w:tc>
        <w:tc>
          <w:tcPr/>
          <w:p>
            <w:pPr>
              <w:pStyle w:val="Compact"/>
            </w:pPr>
            <w:r>
              <w:t xml:space="preserve">MSFT</w:t>
            </w:r>
          </w:p>
        </w:tc>
        <w:tc>
          <w:tcPr/>
          <w:p>
            <w:pPr>
              <w:pStyle w:val="Compact"/>
            </w:pPr>
            <w:r>
              <w:t xml:space="preserve">Software</w:t>
            </w:r>
          </w:p>
        </w:tc>
        <w:tc>
          <w:tcPr/>
          <w:p>
            <w:pPr>
              <w:pStyle w:val="Compact"/>
            </w:pPr>
            <w:r>
              <w:t xml:space="preserve">1999</w:t>
            </w:r>
          </w:p>
        </w:tc>
      </w:tr>
      <w:tr>
        <w:tc>
          <w:tcPr/>
          <w:p>
            <w:pPr>
              <w:pStyle w:val="Compact"/>
            </w:pPr>
            <w:r>
              <w:t xml:space="preserve">Nash Motors</w:t>
            </w:r>
          </w:p>
        </w:tc>
        <w:tc>
          <w:tcPr/>
          <w:p>
            <w:pPr>
              <w:pStyle w:val="Compact"/>
            </w:pPr>
            <w:r>
              <w:t xml:space="preserve">UnitedHealth Group</w:t>
            </w:r>
          </w:p>
        </w:tc>
        <w:tc>
          <w:tcPr/>
          <w:p>
            <w:pPr>
              <w:pStyle w:val="Compact"/>
            </w:pPr>
            <w:r>
              <w:t xml:space="preserve">UNH</w:t>
            </w:r>
          </w:p>
        </w:tc>
        <w:tc>
          <w:tcPr/>
          <w:p>
            <w:pPr>
              <w:pStyle w:val="Compact"/>
            </w:pPr>
            <w:r>
              <w:t xml:space="preserve">Health insurance</w:t>
            </w:r>
          </w:p>
        </w:tc>
        <w:tc>
          <w:tcPr/>
          <w:p>
            <w:pPr>
              <w:pStyle w:val="Compact"/>
            </w:pPr>
            <w:r>
              <w:t xml:space="preserve">2012</w:t>
            </w:r>
          </w:p>
        </w:tc>
      </w:tr>
      <w:tr>
        <w:tc>
          <w:tcPr/>
          <w:p>
            <w:pPr>
              <w:pStyle w:val="Compact"/>
            </w:pPr>
            <w:r>
              <w:t xml:space="preserve">North American</w:t>
            </w:r>
          </w:p>
        </w:tc>
        <w:tc>
          <w:tcPr/>
          <w:p>
            <w:pPr>
              <w:pStyle w:val="Compact"/>
            </w:pPr>
            <w:r>
              <w:t xml:space="preserve">Apple</w:t>
            </w:r>
          </w:p>
        </w:tc>
        <w:tc>
          <w:tcPr/>
          <w:p>
            <w:pPr>
              <w:pStyle w:val="Compact"/>
            </w:pPr>
            <w:r>
              <w:t xml:space="preserve">AAPL</w:t>
            </w:r>
          </w:p>
        </w:tc>
        <w:tc>
          <w:tcPr/>
          <w:p>
            <w:pPr>
              <w:pStyle w:val="Compact"/>
            </w:pPr>
            <w:r>
              <w:t xml:space="preserve">Electronic equipment</w:t>
            </w:r>
          </w:p>
        </w:tc>
        <w:tc>
          <w:tcPr/>
          <w:p>
            <w:pPr>
              <w:pStyle w:val="Compact"/>
            </w:pPr>
            <w:r>
              <w:t xml:space="preserve">2015</w:t>
            </w:r>
          </w:p>
        </w:tc>
      </w:tr>
      <w:tr>
        <w:tc>
          <w:tcPr/>
          <w:p>
            <w:pPr>
              <w:pStyle w:val="Compact"/>
            </w:pPr>
            <w:r>
              <w:t xml:space="preserve">Paramount Publix</w:t>
            </w:r>
          </w:p>
        </w:tc>
        <w:tc>
          <w:tcPr/>
          <w:p>
            <w:pPr>
              <w:pStyle w:val="Compact"/>
            </w:pPr>
            <w:r>
              <w:t xml:space="preserve">JPMorgan Chase</w:t>
            </w:r>
          </w:p>
        </w:tc>
        <w:tc>
          <w:tcPr/>
          <w:p>
            <w:pPr>
              <w:pStyle w:val="Compact"/>
            </w:pPr>
            <w:r>
              <w:t xml:space="preserve">JPM</w:t>
            </w:r>
          </w:p>
        </w:tc>
        <w:tc>
          <w:tcPr/>
          <w:p>
            <w:pPr>
              <w:pStyle w:val="Compact"/>
            </w:pPr>
            <w:r>
              <w:t xml:space="preserve">Banking</w:t>
            </w:r>
          </w:p>
        </w:tc>
        <w:tc>
          <w:tcPr/>
          <w:p>
            <w:pPr>
              <w:pStyle w:val="Compact"/>
            </w:pPr>
            <w:r>
              <w:t xml:space="preserve">1991</w:t>
            </w:r>
          </w:p>
        </w:tc>
      </w:tr>
      <w:tr>
        <w:tc>
          <w:tcPr/>
          <w:p>
            <w:pPr>
              <w:pStyle w:val="Compact"/>
            </w:pPr>
            <w:r>
              <w:t xml:space="preserve">Postum Inc</w:t>
            </w:r>
          </w:p>
        </w:tc>
        <w:tc>
          <w:tcPr/>
          <w:p>
            <w:pPr>
              <w:pStyle w:val="Compact"/>
            </w:pPr>
            <w:r>
              <w:t xml:space="preserve">Travelers</w:t>
            </w:r>
          </w:p>
        </w:tc>
        <w:tc>
          <w:tcPr/>
          <w:p>
            <w:pPr>
              <w:pStyle w:val="Compact"/>
            </w:pPr>
            <w:r>
              <w:t xml:space="preserve">TRV</w:t>
            </w:r>
          </w:p>
        </w:tc>
        <w:tc>
          <w:tcPr/>
          <w:p>
            <w:pPr>
              <w:pStyle w:val="Compact"/>
            </w:pPr>
            <w:r>
              <w:t xml:space="preserve">Insurance</w:t>
            </w:r>
          </w:p>
        </w:tc>
        <w:tc>
          <w:tcPr/>
          <w:p>
            <w:pPr>
              <w:pStyle w:val="Compact"/>
            </w:pPr>
            <w:r>
              <w:t xml:space="preserve">2009</w:t>
            </w:r>
          </w:p>
        </w:tc>
      </w:tr>
      <w:tr>
        <w:tc>
          <w:tcPr/>
          <w:p>
            <w:pPr>
              <w:pStyle w:val="Compact"/>
            </w:pPr>
            <w:r>
              <w:t xml:space="preserve">Radio Corp</w:t>
            </w:r>
          </w:p>
        </w:tc>
        <w:tc>
          <w:tcPr/>
          <w:p>
            <w:pPr>
              <w:pStyle w:val="Compact"/>
            </w:pPr>
            <w:r>
              <w:t xml:space="preserve">Visa</w:t>
            </w:r>
          </w:p>
        </w:tc>
        <w:tc>
          <w:tcPr/>
          <w:p>
            <w:pPr>
              <w:pStyle w:val="Compact"/>
            </w:pPr>
            <w:r>
              <w:t xml:space="preserve">V</w:t>
            </w:r>
          </w:p>
        </w:tc>
        <w:tc>
          <w:tcPr/>
          <w:p>
            <w:pPr>
              <w:pStyle w:val="Compact"/>
            </w:pPr>
            <w:r>
              <w:t xml:space="preserve">Electronic payments</w:t>
            </w:r>
          </w:p>
        </w:tc>
        <w:tc>
          <w:tcPr/>
          <w:p>
            <w:pPr>
              <w:pStyle w:val="Compact"/>
            </w:pPr>
            <w:r>
              <w:t xml:space="preserve">2013</w:t>
            </w:r>
          </w:p>
        </w:tc>
      </w:tr>
      <w:tr>
        <w:tc>
          <w:tcPr/>
          <w:p>
            <w:pPr>
              <w:pStyle w:val="Compact"/>
            </w:pPr>
            <w:r>
              <w:t xml:space="preserve">Sears Roebuck</w:t>
            </w:r>
          </w:p>
        </w:tc>
        <w:tc>
          <w:tcPr/>
          <w:p>
            <w:pPr>
              <w:pStyle w:val="Compact"/>
            </w:pPr>
            <w:r>
              <w:t xml:space="preserve">Home Depot</w:t>
            </w:r>
          </w:p>
        </w:tc>
        <w:tc>
          <w:tcPr/>
          <w:p>
            <w:pPr>
              <w:pStyle w:val="Compact"/>
            </w:pPr>
            <w:r>
              <w:t xml:space="preserve">HD</w:t>
            </w:r>
          </w:p>
        </w:tc>
        <w:tc>
          <w:tcPr/>
          <w:p>
            <w:pPr>
              <w:pStyle w:val="Compact"/>
            </w:pPr>
            <w:r>
              <w:t xml:space="preserve">Home improvement retailers</w:t>
            </w:r>
          </w:p>
        </w:tc>
        <w:tc>
          <w:tcPr/>
          <w:p>
            <w:pPr>
              <w:pStyle w:val="Compact"/>
            </w:pPr>
            <w:r>
              <w:t xml:space="preserve">1999</w:t>
            </w:r>
          </w:p>
        </w:tc>
      </w:tr>
      <w:tr>
        <w:tc>
          <w:tcPr/>
          <w:p>
            <w:pPr>
              <w:pStyle w:val="Compact"/>
            </w:pPr>
            <w:r>
              <w:t xml:space="preserve">Standard Oil (NJ)</w:t>
            </w:r>
          </w:p>
        </w:tc>
        <w:tc>
          <w:tcPr/>
          <w:p>
            <w:pPr>
              <w:pStyle w:val="Compact"/>
            </w:pPr>
            <w:r>
              <w:t xml:space="preserve">DowDuPont</w:t>
            </w:r>
          </w:p>
        </w:tc>
        <w:tc>
          <w:tcPr/>
          <w:p>
            <w:pPr>
              <w:pStyle w:val="Compact"/>
            </w:pPr>
            <w:r>
              <w:t xml:space="preserve">DWDP</w:t>
            </w:r>
          </w:p>
        </w:tc>
        <w:tc>
          <w:tcPr/>
          <w:p>
            <w:pPr>
              <w:pStyle w:val="Compact"/>
            </w:pPr>
            <w:r>
              <w:t xml:space="preserve">Chemicals</w:t>
            </w:r>
          </w:p>
        </w:tc>
        <w:tc>
          <w:tcPr/>
          <w:p>
            <w:pPr>
              <w:pStyle w:val="Compact"/>
            </w:pPr>
            <w:r>
              <w:t xml:space="preserve">1935</w:t>
            </w:r>
          </w:p>
        </w:tc>
      </w:tr>
      <w:tr>
        <w:tc>
          <w:tcPr/>
          <w:p>
            <w:pPr>
              <w:pStyle w:val="Compact"/>
            </w:pPr>
            <w:r>
              <w:t xml:space="preserve">Texas Corp</w:t>
            </w:r>
          </w:p>
        </w:tc>
        <w:tc>
          <w:tcPr/>
          <w:p>
            <w:pPr>
              <w:pStyle w:val="Compact"/>
            </w:pPr>
            <w:r>
              <w:t xml:space="preserve">Disney</w:t>
            </w:r>
          </w:p>
        </w:tc>
        <w:tc>
          <w:tcPr/>
          <w:p>
            <w:pPr>
              <w:pStyle w:val="Compact"/>
            </w:pPr>
            <w:r>
              <w:t xml:space="preserve">DIS</w:t>
            </w:r>
          </w:p>
        </w:tc>
        <w:tc>
          <w:tcPr/>
          <w:p>
            <w:pPr>
              <w:pStyle w:val="Compact"/>
            </w:pPr>
            <w:r>
              <w:t xml:space="preserve">Broadcasting and entertainment</w:t>
            </w:r>
          </w:p>
        </w:tc>
        <w:tc>
          <w:tcPr/>
          <w:p>
            <w:pPr>
              <w:pStyle w:val="Compact"/>
            </w:pPr>
            <w:r>
              <w:t xml:space="preserve">1991</w:t>
            </w:r>
          </w:p>
        </w:tc>
      </w:tr>
      <w:tr>
        <w:tc>
          <w:tcPr/>
          <w:p>
            <w:pPr>
              <w:pStyle w:val="Compact"/>
            </w:pPr>
            <w:r>
              <w:t xml:space="preserve">Texas Gulf Sulphur</w:t>
            </w:r>
          </w:p>
        </w:tc>
        <w:tc>
          <w:tcPr/>
          <w:p>
            <w:pPr>
              <w:pStyle w:val="Compact"/>
            </w:pPr>
            <w:r>
              <w:t xml:space="preserve">Coca-Cola</w:t>
            </w:r>
          </w:p>
        </w:tc>
        <w:tc>
          <w:tcPr/>
          <w:p>
            <w:pPr>
              <w:pStyle w:val="Compact"/>
            </w:pPr>
            <w:r>
              <w:t xml:space="preserve">KO</w:t>
            </w:r>
          </w:p>
        </w:tc>
        <w:tc>
          <w:tcPr/>
          <w:p>
            <w:pPr>
              <w:pStyle w:val="Compact"/>
            </w:pPr>
            <w:r>
              <w:t xml:space="preserve">Beverages</w:t>
            </w:r>
          </w:p>
        </w:tc>
        <w:tc>
          <w:tcPr/>
          <w:p>
            <w:pPr>
              <w:pStyle w:val="Compact"/>
            </w:pPr>
            <w:r>
              <w:t xml:space="preserve">1987</w:t>
            </w:r>
          </w:p>
        </w:tc>
      </w:tr>
      <w:tr>
        <w:tc>
          <w:tcPr/>
          <w:p>
            <w:pPr>
              <w:pStyle w:val="Compact"/>
            </w:pPr>
            <w:r>
              <w:t xml:space="preserve">Union Carbide</w:t>
            </w:r>
          </w:p>
        </w:tc>
        <w:tc>
          <w:tcPr/>
          <w:p>
            <w:pPr>
              <w:pStyle w:val="Compact"/>
            </w:pPr>
            <w:r>
              <w:t xml:space="preserve">Nike</w:t>
            </w:r>
          </w:p>
        </w:tc>
        <w:tc>
          <w:tcPr/>
          <w:p>
            <w:pPr>
              <w:pStyle w:val="Compact"/>
            </w:pPr>
            <w:r>
              <w:t xml:space="preserve">NKE</w:t>
            </w:r>
          </w:p>
        </w:tc>
        <w:tc>
          <w:tcPr/>
          <w:p>
            <w:pPr>
              <w:pStyle w:val="Compact"/>
            </w:pPr>
            <w:r>
              <w:t xml:space="preserve">Apparel</w:t>
            </w:r>
          </w:p>
        </w:tc>
        <w:tc>
          <w:tcPr/>
          <w:p>
            <w:pPr>
              <w:pStyle w:val="Compact"/>
            </w:pPr>
            <w:r>
              <w:t xml:space="preserve">2013</w:t>
            </w:r>
          </w:p>
        </w:tc>
      </w:tr>
      <w:tr>
        <w:tc>
          <w:tcPr/>
          <w:p>
            <w:pPr>
              <w:pStyle w:val="Compact"/>
            </w:pPr>
            <w:r>
              <w:t xml:space="preserve">U.S. Steel</w:t>
            </w:r>
          </w:p>
        </w:tc>
        <w:tc>
          <w:tcPr/>
          <w:p>
            <w:pPr>
              <w:pStyle w:val="Compact"/>
            </w:pPr>
            <w:r>
              <w:t xml:space="preserve">Walmart</w:t>
            </w:r>
          </w:p>
        </w:tc>
        <w:tc>
          <w:tcPr/>
          <w:p>
            <w:pPr>
              <w:pStyle w:val="Compact"/>
            </w:pPr>
            <w:r>
              <w:t xml:space="preserve">WMT</w:t>
            </w:r>
          </w:p>
        </w:tc>
        <w:tc>
          <w:tcPr/>
          <w:p>
            <w:pPr>
              <w:pStyle w:val="Compact"/>
            </w:pPr>
            <w:r>
              <w:t xml:space="preserve">Retailers</w:t>
            </w:r>
          </w:p>
        </w:tc>
        <w:tc>
          <w:tcPr/>
          <w:p>
            <w:pPr>
              <w:pStyle w:val="Compact"/>
            </w:pPr>
            <w:r>
              <w:t xml:space="preserve">1997</w:t>
            </w:r>
          </w:p>
        </w:tc>
      </w:tr>
      <w:tr>
        <w:tc>
          <w:tcPr/>
          <w:p>
            <w:pPr>
              <w:pStyle w:val="Compact"/>
            </w:pPr>
            <w:r>
              <w:t xml:space="preserve">Victor Talking Machine</w:t>
            </w:r>
          </w:p>
        </w:tc>
        <w:tc>
          <w:tcPr/>
          <w:p>
            <w:pPr>
              <w:pStyle w:val="Compact"/>
            </w:pPr>
            <w:r>
              <w:t xml:space="preserve">Boeing</w:t>
            </w:r>
          </w:p>
        </w:tc>
        <w:tc>
          <w:tcPr/>
          <w:p>
            <w:pPr>
              <w:pStyle w:val="Compact"/>
            </w:pPr>
            <w:r>
              <w:t xml:space="preserve">BA</w:t>
            </w:r>
          </w:p>
        </w:tc>
        <w:tc>
          <w:tcPr/>
          <w:p>
            <w:pPr>
              <w:pStyle w:val="Compact"/>
            </w:pPr>
            <w:r>
              <w:t xml:space="preserve">Aerospace and defense</w:t>
            </w:r>
          </w:p>
        </w:tc>
        <w:tc>
          <w:tcPr/>
          <w:p>
            <w:pPr>
              <w:pStyle w:val="Compact"/>
            </w:pPr>
            <w:r>
              <w:t xml:space="preserve">1987</w:t>
            </w:r>
          </w:p>
        </w:tc>
      </w:tr>
      <w:tr>
        <w:tc>
          <w:tcPr/>
          <w:p>
            <w:pPr>
              <w:pStyle w:val="Compact"/>
            </w:pPr>
            <w:r>
              <w:t xml:space="preserve">Westinghouse</w:t>
            </w:r>
          </w:p>
        </w:tc>
        <w:tc>
          <w:tcPr/>
          <w:p>
            <w:pPr>
              <w:pStyle w:val="Compact"/>
            </w:pPr>
            <w:r>
              <w:t xml:space="preserve">Cisco Systems</w:t>
            </w:r>
          </w:p>
        </w:tc>
        <w:tc>
          <w:tcPr/>
          <w:p>
            <w:pPr>
              <w:pStyle w:val="Compact"/>
            </w:pPr>
            <w:r>
              <w:t xml:space="preserve">CSCO</w:t>
            </w:r>
          </w:p>
        </w:tc>
        <w:tc>
          <w:tcPr/>
          <w:p>
            <w:pPr>
              <w:pStyle w:val="Compact"/>
            </w:pPr>
            <w:r>
              <w:t xml:space="preserve">Computer equipment</w:t>
            </w:r>
          </w:p>
        </w:tc>
        <w:tc>
          <w:tcPr/>
          <w:p>
            <w:pPr>
              <w:pStyle w:val="Compact"/>
            </w:pPr>
            <w:r>
              <w:t xml:space="preserve">2009</w:t>
            </w:r>
          </w:p>
        </w:tc>
      </w:tr>
      <w:tr>
        <w:tc>
          <w:tcPr/>
          <w:p>
            <w:pPr>
              <w:pStyle w:val="Compact"/>
            </w:pPr>
            <w:r>
              <w:t xml:space="preserve">Wright Aeronautical</w:t>
            </w:r>
          </w:p>
        </w:tc>
        <w:tc>
          <w:tcPr/>
          <w:p>
            <w:pPr>
              <w:pStyle w:val="Compact"/>
            </w:pPr>
            <w:r>
              <w:t xml:space="preserve">3M</w:t>
            </w:r>
          </w:p>
        </w:tc>
        <w:tc>
          <w:tcPr/>
          <w:p>
            <w:pPr>
              <w:pStyle w:val="Compact"/>
            </w:pPr>
            <w:r>
              <w:t xml:space="preserve">MMM</w:t>
            </w:r>
          </w:p>
        </w:tc>
        <w:tc>
          <w:tcPr/>
          <w:p>
            <w:pPr>
              <w:pStyle w:val="Compact"/>
            </w:pPr>
            <w:r>
              <w:t xml:space="preserve">Diversified industrials</w:t>
            </w:r>
          </w:p>
        </w:tc>
        <w:tc>
          <w:tcPr/>
          <w:p>
            <w:pPr>
              <w:pStyle w:val="Compact"/>
            </w:pPr>
            <w:r>
              <w:t xml:space="preserve">1976</w:t>
            </w:r>
          </w:p>
        </w:tc>
      </w:tr>
      <w:tr>
        <w:tc>
          <w:tcPr/>
          <w:p>
            <w:pPr>
              <w:pStyle w:val="Compact"/>
            </w:pPr>
            <w:r>
              <w:t xml:space="preserve">Woolworth</w:t>
            </w:r>
          </w:p>
        </w:tc>
        <w:tc>
          <w:tcPr/>
          <w:p>
            <w:pPr>
              <w:pStyle w:val="Compact"/>
            </w:pPr>
            <w:r>
              <w:t xml:space="preserve">Walgreens Boots</w:t>
            </w:r>
          </w:p>
        </w:tc>
        <w:tc>
          <w:tcPr/>
          <w:p>
            <w:pPr>
              <w:pStyle w:val="Compact"/>
            </w:pPr>
            <w:r>
              <w:t xml:space="preserve">WBA</w:t>
            </w:r>
          </w:p>
        </w:tc>
        <w:tc>
          <w:tcPr/>
          <w:p>
            <w:pPr>
              <w:pStyle w:val="Compact"/>
            </w:pPr>
            <w:r>
              <w:t xml:space="preserve">Pharmaceuticals</w:t>
            </w:r>
          </w:p>
        </w:tc>
        <w:tc>
          <w:tcPr/>
          <w:p>
            <w:pPr>
              <w:pStyle w:val="Compact"/>
            </w:pPr>
            <w:r>
              <w:t xml:space="preserve">2018</w:t>
            </w:r>
          </w:p>
        </w:tc>
      </w:tr>
    </w:tbl>
    <w:bookmarkEnd w:id="87"/>
    <w:bookmarkStart w:id="92" w:name="the-standard-poors-500-index"/>
    <w:p>
      <w:pPr>
        <w:pStyle w:val="Heading2"/>
      </w:pPr>
      <w:r>
        <w:t xml:space="preserve">2.4.3 The Standard &amp; Poor’s 500 Index</w:t>
      </w:r>
    </w:p>
    <w:p>
      <w:pPr>
        <w:pStyle w:val="FirstParagraph"/>
      </w:pPr>
      <w:r>
        <w:t xml:space="preserve">The</w:t>
      </w:r>
      <w:r>
        <w:t xml:space="preserve"> </w:t>
      </w:r>
      <w:r>
        <w:rPr>
          <w:b/>
          <w:bCs/>
        </w:rPr>
        <w:t xml:space="preserve">S&amp;P 500</w:t>
      </w:r>
      <w:r>
        <w:t xml:space="preserve"> </w:t>
      </w:r>
      <w:r>
        <w:t xml:space="preserve">improves on the Dow in two ways: it is broader (about 500 firms), and it is a</w:t>
      </w:r>
      <w:r>
        <w:t xml:space="preserve"> </w:t>
      </w:r>
      <w:r>
        <w:rPr>
          <w:b/>
          <w:bCs/>
        </w:rPr>
        <w:t xml:space="preserve">market value-weighted index</w:t>
      </w:r>
      <w:r>
        <w:t xml:space="preserve">. Weights are proportional to each firm’s total</w:t>
      </w:r>
      <w:r>
        <w:t xml:space="preserve"> </w:t>
      </w:r>
      <w:r>
        <w:rPr>
          <w:b/>
          <w:bCs/>
        </w:rPr>
        <w:t xml:space="preserve">market value</w:t>
      </w:r>
      <w:r>
        <w:t xml:space="preserve"> </w:t>
      </w:r>
      <w:r>
        <w:t xml:space="preserve">(price times shares), so a firm with five times the market value receives five times the weight. The index equals the total market value of its firms relative to a base, and its return equals the return on a portfolio holding all firms</w:t>
      </w:r>
      <w:r>
        <w:t xml:space="preserve"> </w:t>
      </w:r>
      <w:r>
        <w:rPr>
          <w:b/>
          <w:bCs/>
        </w:rPr>
        <w:t xml:space="preserve">in proportion to market value</w:t>
      </w:r>
      <w:r>
        <w:t xml:space="preserve"> </w:t>
      </w:r>
      <w:r>
        <w:t xml:space="preserve">(excluding cash dividends).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8" name="Picture"/>
                  <a:graphic>
                    <a:graphicData uri="http://schemas.openxmlformats.org/drawingml/2006/picture">
                      <pic:pic>
                        <pic:nvPicPr>
                          <pic:cNvPr descr="/Applications/quarto/share/formats/docx/note.png" id="89"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Example 2.4 - Value-Weighted Indexes</w:t>
            </w:r>
          </w:p>
          <w:p>
            <w:pPr>
              <w:pStyle w:val="BodyText"/>
            </w:pPr>
            <w:pPr>
              <w:spacing w:after="16"/>
            </w:pPr>
            <w:r>
              <w:t xml:space="preserve">Using Table 2.3, total market value rises from $600M to $690M. Setting the base index to 100, year-end value is</w:t>
            </w:r>
            <w:r>
              <w:t xml:space="preserve"> </w:t>
            </w:r>
            <m:oMath>
              <m:r>
                <m:t>100</m:t>
              </m:r>
              <m:r>
                <m:rPr>
                  <m:sty m:val="p"/>
                </m:rPr>
                <m:t>×</m:t>
              </m:r>
              <m:d>
                <m:dPr>
                  <m:begChr m:val="("/>
                  <m:sepChr m:val=""/>
                  <m:endChr m:val=")"/>
                  <m:grow/>
                </m:dPr>
                <m:e>
                  <m:r>
                    <m:t>690</m:t>
                  </m:r>
                  <m:r>
                    <m:rPr>
                      <m:sty m:val="p"/>
                    </m:rPr>
                    <m:t>/</m:t>
                  </m:r>
                  <m:r>
                    <m:t>600</m:t>
                  </m:r>
                </m:e>
              </m:d>
              <m:r>
                <m:rPr>
                  <m:sty m:val="p"/>
                </m:rPr>
                <m:t>=</m:t>
              </m:r>
              <m:r>
                <m:t>115</m:t>
              </m:r>
            </m:oMath>
            <w:r>
              <w:t xml:space="preserve"> </w:t>
            </w:r>
            <w:r>
              <w:t xml:space="preserve">- a</w:t>
            </w:r>
            <w:r>
              <w:t xml:space="preserve"> </w:t>
            </w:r>
            <w:r>
              <w:rPr>
                <w:b/>
                <w:bCs/>
              </w:rPr>
              <w:t xml:space="preserve">+15%</w:t>
            </w:r>
            <w:r>
              <w:t xml:space="preserve"> </w:t>
            </w:r>
            <w:r>
              <w:t xml:space="preserve">return, matching a market-value-weighted portfolio. Unlike the price-weighted index (which fell because high-priced XYZ dominated), the value-weighted index</w:t>
            </w:r>
            <w:r>
              <w:t xml:space="preserve"> </w:t>
            </w:r>
            <w:r>
              <w:rPr>
                <w:b/>
                <w:bCs/>
              </w:rPr>
              <w:t xml:space="preserve">rose</w:t>
            </w:r>
            <w:r>
              <w:t xml:space="preserve">, because it gives more weight to ABC, the larger-market-value stock. Value-weighted indexes are also</w:t>
            </w:r>
            <w:r>
              <w:t xml:space="preserve"> </w:t>
            </w:r>
            <w:r>
              <w:rPr>
                <w:b/>
                <w:bCs/>
              </w:rPr>
              <w:t xml:space="preserve">unaffected by stock splits</w:t>
            </w:r>
            <w:r>
              <w:t xml:space="preserve">: XYZ’s total market value is unchanged by a split.</w:t>
            </w:r>
          </w:p>
        </w:tc>
      </w:tr>
    </w:tbl>
    <w:p>
      <w:pPr>
        <w:pStyle w:val="BodyText"/>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0" name="Picture"/>
                  <a:graphic>
                    <a:graphicData uri="http://schemas.openxmlformats.org/drawingml/2006/picture">
                      <pic:pic>
                        <pic:nvPicPr>
                          <pic:cNvPr descr="/Applications/quarto/share/formats/docx/tip.png" id="91"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2.5</w:t>
            </w:r>
            <w:r>
              <w:t xml:space="preserve"> </w:t>
            </w:r>
            <w:r>
              <w:t xml:space="preserve">- Reconsider XYZ and ABC from Concept Check 2.4. Calculate the percentage change in the market value-weighted index, and compare it to a portfolio holding $500 of ABC for every $100 of XYZ.</w:t>
            </w:r>
            <w:r>
              <w:t xml:space="preserve"> </w:t>
            </w:r>
            <w:r>
              <w:rPr>
                <w:i/>
                <w:iCs/>
              </w:rPr>
              <w:t xml:space="preserve">(Solution at the end.)</w:t>
            </w:r>
          </w:p>
        </w:tc>
      </w:tr>
    </w:tbl>
    <w:p>
      <w:pPr>
        <w:pStyle w:val="BodyText"/>
      </w:pPr>
      <w:r>
        <w:t xml:space="preserve">Investors can buy index exposure cheaply via</w:t>
      </w:r>
      <w:r>
        <w:t xml:space="preserve"> </w:t>
      </w:r>
      <w:r>
        <w:rPr>
          <w:b/>
          <w:bCs/>
        </w:rPr>
        <w:t xml:space="preserve">index funds</w:t>
      </w:r>
      <w:r>
        <w:t xml:space="preserve"> </w:t>
      </w:r>
      <w:r>
        <w:t xml:space="preserve">(mutual funds holding shares in index proportions) or</w:t>
      </w:r>
      <w:r>
        <w:t xml:space="preserve"> </w:t>
      </w:r>
      <w:r>
        <w:rPr>
          <w:b/>
          <w:bCs/>
        </w:rPr>
        <w:t xml:space="preserve">exchange-traded funds (ETFs)</w:t>
      </w:r>
      <w:r>
        <w:t xml:space="preserve">, which trade as a single unit and range from broad global indexes to narrow industry indexes (covered in Chapter 4). Most modern value-weighted indexes actually weight by</w:t>
      </w:r>
      <w:r>
        <w:t xml:space="preserve"> </w:t>
      </w:r>
      <w:r>
        <w:rPr>
          <w:b/>
          <w:bCs/>
        </w:rPr>
        <w:t xml:space="preserve">free float</w:t>
      </w:r>
      <w:r>
        <w:t xml:space="preserve"> </w:t>
      </w:r>
      <w:r>
        <w:t xml:space="preserve">- only shares freely tradable among investors, excluding those held by founding families or governments.</w:t>
      </w:r>
    </w:p>
    <w:bookmarkEnd w:id="92"/>
    <w:bookmarkStart w:id="93" w:name="russell-indexes"/>
    <w:p>
      <w:pPr>
        <w:pStyle w:val="Heading2"/>
      </w:pPr>
      <w:r>
        <w:t xml:space="preserve">2.4.4 Russell Indexes</w:t>
      </w:r>
    </w:p>
    <w:p>
      <w:pPr>
        <w:pStyle w:val="FirstParagraph"/>
      </w:pPr>
      <w:r>
        <w:t xml:space="preserve">The</w:t>
      </w:r>
      <w:r>
        <w:t xml:space="preserve"> </w:t>
      </w:r>
      <w:r>
        <w:rPr>
          <w:b/>
          <w:bCs/>
        </w:rPr>
        <w:t xml:space="preserve">Russell indexes</w:t>
      </w:r>
      <w:r>
        <w:t xml:space="preserve"> </w:t>
      </w:r>
      <w:r>
        <w:t xml:space="preserve">are a family segmented primarily by size (market capitalization):</w:t>
      </w:r>
    </w:p>
    <w:p>
      <w:pPr>
        <w:pStyle w:val="Compact"/>
        <w:numPr>
          <w:ilvl w:val="0"/>
          <w:numId w:val="1014"/>
        </w:numPr>
      </w:pPr>
      <w:r>
        <w:rPr>
          <w:b/>
          <w:bCs/>
        </w:rPr>
        <w:t xml:space="preserve">Russell 3000</w:t>
      </w:r>
      <w:r>
        <w:t xml:space="preserve"> </w:t>
      </w:r>
      <w:r>
        <w:t xml:space="preserve">- the largest 3,000 U.S. stocks.</w:t>
      </w:r>
    </w:p>
    <w:p>
      <w:pPr>
        <w:pStyle w:val="Compact"/>
        <w:numPr>
          <w:ilvl w:val="0"/>
          <w:numId w:val="1014"/>
        </w:numPr>
      </w:pPr>
      <w:r>
        <w:rPr>
          <w:b/>
          <w:bCs/>
        </w:rPr>
        <w:t xml:space="preserve">Russell 1000</w:t>
      </w:r>
      <w:r>
        <w:t xml:space="preserve"> </w:t>
      </w:r>
      <w:r>
        <w:t xml:space="preserve">- the largest 1,000 firms in the Russell 3000.</w:t>
      </w:r>
    </w:p>
    <w:p>
      <w:pPr>
        <w:pStyle w:val="Compact"/>
        <w:numPr>
          <w:ilvl w:val="0"/>
          <w:numId w:val="1014"/>
        </w:numPr>
      </w:pPr>
      <w:r>
        <w:rPr>
          <w:b/>
          <w:bCs/>
        </w:rPr>
        <w:t xml:space="preserve">Russell 2500</w:t>
      </w:r>
      <w:r>
        <w:t xml:space="preserve"> </w:t>
      </w:r>
      <w:r>
        <w:t xml:space="preserve">- the bottom 2,500 of the Russell 3000 (popular for mid- to small-cap).</w:t>
      </w:r>
    </w:p>
    <w:p>
      <w:pPr>
        <w:pStyle w:val="Compact"/>
        <w:numPr>
          <w:ilvl w:val="0"/>
          <w:numId w:val="1014"/>
        </w:numPr>
      </w:pPr>
      <w:r>
        <w:t xml:space="preserve">Also the</w:t>
      </w:r>
      <w:r>
        <w:t xml:space="preserve"> </w:t>
      </w:r>
      <w:r>
        <w:rPr>
          <w:b/>
          <w:bCs/>
        </w:rPr>
        <w:t xml:space="preserve">Russell Top 200</w:t>
      </w:r>
      <w:r>
        <w:t xml:space="preserve">,</w:t>
      </w:r>
      <w:r>
        <w:t xml:space="preserve"> </w:t>
      </w:r>
      <w:r>
        <w:rPr>
          <w:b/>
          <w:bCs/>
        </w:rPr>
        <w:t xml:space="preserve">Top 50</w:t>
      </w:r>
      <w:r>
        <w:t xml:space="preserve">, and the</w:t>
      </w:r>
      <w:r>
        <w:t xml:space="preserve"> </w:t>
      </w:r>
      <w:r>
        <w:rPr>
          <w:b/>
          <w:bCs/>
        </w:rPr>
        <w:t xml:space="preserve">Russell Microcap</w:t>
      </w:r>
      <w:r>
        <w:t xml:space="preserve"> </w:t>
      </w:r>
      <w:r>
        <w:t xml:space="preserve">(stocks ranked 2,001-4,000).</w:t>
      </w:r>
    </w:p>
    <w:p>
      <w:pPr>
        <w:pStyle w:val="FirstParagraph"/>
      </w:pPr>
      <w:r>
        <w:t xml:space="preserve">Their constituents are updated once a year, and the indexes are capitalization weighted.</w:t>
      </w:r>
    </w:p>
    <w:bookmarkEnd w:id="93"/>
    <w:bookmarkStart w:id="94" w:name="other-u.s.-market-value-indexes"/>
    <w:p>
      <w:pPr>
        <w:pStyle w:val="Heading2"/>
      </w:pPr>
      <w:r>
        <w:t xml:space="preserve">2.4.5 Other U.S. Market Value Indexes</w:t>
      </w:r>
    </w:p>
    <w:p>
      <w:pPr>
        <w:pStyle w:val="Compact"/>
        <w:numPr>
          <w:ilvl w:val="0"/>
          <w:numId w:val="1015"/>
        </w:numPr>
      </w:pPr>
      <w:r>
        <w:t xml:space="preserve">The</w:t>
      </w:r>
      <w:r>
        <w:t xml:space="preserve"> </w:t>
      </w:r>
      <w:r>
        <w:rPr>
          <w:b/>
          <w:bCs/>
        </w:rPr>
        <w:t xml:space="preserve">NYSE</w:t>
      </w:r>
      <w:r>
        <w:t xml:space="preserve"> </w:t>
      </w:r>
      <w:r>
        <w:t xml:space="preserve">publishes a market value-weighted composite of all NYSE-listed stocks, plus industrial, utility, transportation, and financial subindexes.</w:t>
      </w:r>
    </w:p>
    <w:p>
      <w:pPr>
        <w:pStyle w:val="Compact"/>
        <w:numPr>
          <w:ilvl w:val="0"/>
          <w:numId w:val="1015"/>
        </w:numPr>
      </w:pPr>
      <w:r>
        <w:rPr>
          <w:b/>
          <w:bCs/>
        </w:rPr>
        <w:t xml:space="preserve">Nasdaq</w:t>
      </w:r>
      <w:r>
        <w:t xml:space="preserve"> </w:t>
      </w:r>
      <w:r>
        <w:t xml:space="preserve">computes a Composite index of firms on its market; the</w:t>
      </w:r>
      <w:r>
        <w:t xml:space="preserve"> </w:t>
      </w:r>
      <w:r>
        <w:rPr>
          <w:b/>
          <w:bCs/>
        </w:rPr>
        <w:t xml:space="preserve">Nasdaq 100</w:t>
      </w:r>
      <w:r>
        <w:t xml:space="preserve"> </w:t>
      </w:r>
      <w:r>
        <w:t xml:space="preserve">is a subset of larger firms accounting for much of the Composite’s capitalization.</w:t>
      </w:r>
    </w:p>
    <w:p>
      <w:pPr>
        <w:pStyle w:val="Compact"/>
        <w:numPr>
          <w:ilvl w:val="0"/>
          <w:numId w:val="1015"/>
        </w:numPr>
      </w:pPr>
      <w:r>
        <w:t xml:space="preserve">The most inclusive U.S. equity index is the</w:t>
      </w:r>
      <w:r>
        <w:t xml:space="preserve"> </w:t>
      </w:r>
      <w:r>
        <w:rPr>
          <w:b/>
          <w:bCs/>
        </w:rPr>
        <w:t xml:space="preserve">FT (Financial Times) Wilshire 5000</w:t>
      </w:r>
      <w:r>
        <w:t xml:space="preserve">, covering essentially all actively traded U.S. stocks (once over 5,000 stocks; today about 3,700). A similar comprehensive index is published by</w:t>
      </w:r>
      <w:r>
        <w:t xml:space="preserve"> </w:t>
      </w:r>
      <w:r>
        <w:rPr>
          <w:b/>
          <w:bCs/>
        </w:rPr>
        <w:t xml:space="preserve">CRSP</w:t>
      </w:r>
      <w:r>
        <w:t xml:space="preserve"> </w:t>
      </w:r>
      <w:r>
        <w:t xml:space="preserve">(Center for Research in Security Prices, University of Chicago).</w:t>
      </w:r>
    </w:p>
    <w:bookmarkEnd w:id="94"/>
    <w:bookmarkStart w:id="95" w:name="equally-weighted-indexes"/>
    <w:p>
      <w:pPr>
        <w:pStyle w:val="Heading2"/>
      </w:pPr>
      <w:r>
        <w:t xml:space="preserve">2.4.6 Equally Weighted Indexes</w:t>
      </w:r>
    </w:p>
    <w:p>
      <w:pPr>
        <w:pStyle w:val="FirstParagraph"/>
      </w:pPr>
      <w:r>
        <w:t xml:space="preserve">An</w:t>
      </w:r>
      <w:r>
        <w:t xml:space="preserve"> </w:t>
      </w:r>
      <w:r>
        <w:rPr>
          <w:b/>
          <w:bCs/>
        </w:rPr>
        <w:t xml:space="preserve">equally weighted index</w:t>
      </w:r>
      <w:r>
        <w:t xml:space="preserve"> </w:t>
      </w:r>
      <w:r>
        <w:t xml:space="preserve">averages the returns of each stock with equal weight, corresponding to a portfolio that places</w:t>
      </w:r>
      <w:r>
        <w:t xml:space="preserve"> </w:t>
      </w:r>
      <w:r>
        <w:rPr>
          <w:b/>
          <w:bCs/>
        </w:rPr>
        <w:t xml:space="preserve">equal dollar amounts</w:t>
      </w:r>
      <w:r>
        <w:t xml:space="preserve"> </w:t>
      </w:r>
      <w:r>
        <w:t xml:space="preserve">in each stock. This differs from price weighting (equal</w:t>
      </w:r>
      <w:r>
        <w:t xml:space="preserve"> </w:t>
      </w:r>
      <w:r>
        <w:rPr>
          <w:i/>
          <w:iCs/>
        </w:rPr>
        <w:t xml:space="preserve">shares</w:t>
      </w:r>
      <w:r>
        <w:t xml:space="preserve">) and value weighting (dollars proportional to market value). Crucially, an equally weighted index does</w:t>
      </w:r>
      <w:r>
        <w:t xml:space="preserve"> </w:t>
      </w:r>
      <w:r>
        <w:rPr>
          <w:b/>
          <w:bCs/>
        </w:rPr>
        <w:t xml:space="preserve">not</w:t>
      </w:r>
      <w:r>
        <w:t xml:space="preserve"> </w:t>
      </w:r>
      <w:r>
        <w:t xml:space="preserve">correspond to a buy-and-hold strategy: as prices move, dollar weights drift, so maintaining equal weights requires</w:t>
      </w:r>
      <w:r>
        <w:t xml:space="preserve"> </w:t>
      </w:r>
      <w:r>
        <w:rPr>
          <w:b/>
          <w:bCs/>
        </w:rPr>
        <w:t xml:space="preserve">rebalancing</w:t>
      </w:r>
      <w:r>
        <w:t xml:space="preserve"> </w:t>
      </w:r>
      <w:r>
        <w:t xml:space="preserve">(selling winners and/or buying losers) each period.</w:t>
      </w:r>
    </w:p>
    <w:bookmarkEnd w:id="95"/>
    <w:bookmarkStart w:id="96" w:name="X0a06a38583c865c9a507e7c391ed23a8b0967e3"/>
    <w:p>
      <w:pPr>
        <w:pStyle w:val="Heading2"/>
      </w:pPr>
      <w:r>
        <w:t xml:space="preserve">2.4.7 Foreign and International Stock Market Indexes</w:t>
      </w:r>
    </w:p>
    <w:p>
      <w:pPr>
        <w:pStyle w:val="FirstParagraph"/>
      </w:pPr>
      <w:r>
        <w:t xml:space="preserve">Major foreign indexes include the</w:t>
      </w:r>
      <w:r>
        <w:t xml:space="preserve"> </w:t>
      </w:r>
      <w:r>
        <w:rPr>
          <w:b/>
          <w:bCs/>
        </w:rPr>
        <w:t xml:space="preserve">Nikkei</w:t>
      </w:r>
      <w:r>
        <w:t xml:space="preserve"> </w:t>
      </w:r>
      <w:r>
        <w:t xml:space="preserve">(Japan),</w:t>
      </w:r>
      <w:r>
        <w:t xml:space="preserve"> </w:t>
      </w:r>
      <w:r>
        <w:rPr>
          <w:b/>
          <w:bCs/>
        </w:rPr>
        <w:t xml:space="preserve">FTSE</w:t>
      </w:r>
      <w:r>
        <w:t xml:space="preserve"> </w:t>
      </w:r>
      <w:r>
        <w:t xml:space="preserve">(U.K.,</w:t>
      </w:r>
      <w:r>
        <w:t xml:space="preserve"> </w:t>
      </w:r>
      <w:r>
        <w:t xml:space="preserve">“footsie”</w:t>
      </w:r>
      <w:r>
        <w:t xml:space="preserve">),</w:t>
      </w:r>
      <w:r>
        <w:t xml:space="preserve"> </w:t>
      </w:r>
      <w:r>
        <w:rPr>
          <w:b/>
          <w:bCs/>
        </w:rPr>
        <w:t xml:space="preserve">DAX</w:t>
      </w:r>
      <w:r>
        <w:t xml:space="preserve"> </w:t>
      </w:r>
      <w:r>
        <w:t xml:space="preserve">(Germany),</w:t>
      </w:r>
      <w:r>
        <w:t xml:space="preserve"> </w:t>
      </w:r>
      <w:r>
        <w:rPr>
          <w:b/>
          <w:bCs/>
        </w:rPr>
        <w:t xml:space="preserve">Hang Seng</w:t>
      </w:r>
      <w:r>
        <w:t xml:space="preserve"> </w:t>
      </w:r>
      <w:r>
        <w:t xml:space="preserve">(Hong Kong), and</w:t>
      </w:r>
      <w:r>
        <w:t xml:space="preserve"> </w:t>
      </w:r>
      <w:r>
        <w:rPr>
          <w:b/>
          <w:bCs/>
        </w:rPr>
        <w:t xml:space="preserve">TSX</w:t>
      </w:r>
      <w:r>
        <w:t xml:space="preserve"> </w:t>
      </w:r>
      <w:r>
        <w:t xml:space="preserve">(Toronto). A leader in international index construction is</w:t>
      </w:r>
      <w:r>
        <w:t xml:space="preserve"> </w:t>
      </w:r>
      <w:r>
        <w:rPr>
          <w:b/>
          <w:bCs/>
        </w:rPr>
        <w:t xml:space="preserve">MSCI (Morgan Stanley Capital International)</w:t>
      </w:r>
      <w:r>
        <w:t xml:space="preserve">, which computes dozens of country and regional indexes.</w:t>
      </w:r>
    </w:p>
    <w:p>
      <w:pPr>
        <w:pStyle w:val="BodyText"/>
      </w:pPr>
      <w:r>
        <w:rPr>
          <w:b/>
          <w:bCs/>
        </w:rPr>
        <w:t xml:space="preserve">Table 2.6 - Sample of MSCI stock indexes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Developed Markets</w:t>
            </w:r>
          </w:p>
        </w:tc>
        <w:tc>
          <w:tcPr/>
          <w:p>
            <w:pPr>
              <w:pStyle w:val="Compact"/>
            </w:pPr>
            <w:r>
              <w:t xml:space="preserve">Emerging Markets</w:t>
            </w:r>
          </w:p>
        </w:tc>
      </w:tr>
      <w:tr>
        <w:tc>
          <w:tcPr/>
          <w:p>
            <w:pPr>
              <w:pStyle w:val="Compact"/>
            </w:pPr>
            <w:r>
              <w:rPr>
                <w:b/>
                <w:bCs/>
              </w:rPr>
              <w:t xml:space="preserve">Regional indexes</w:t>
            </w:r>
          </w:p>
        </w:tc>
        <w:tc>
          <w:tcPr/>
          <w:p>
            <w:pPr>
              <w:pStyle w:val="Compact"/>
            </w:pPr>
            <w:r>
              <w:t xml:space="preserve">EAFE (Europe, Australasia, Far East), EMU, Europe, Far East, Kokusai (World ex-Japan), Nordic Countries, North America, World, World ex-U.S.</w:t>
            </w:r>
          </w:p>
        </w:tc>
        <w:tc>
          <w:tcPr/>
          <w:p>
            <w:pPr>
              <w:pStyle w:val="Compact"/>
            </w:pPr>
            <w:r>
              <w:t xml:space="preserve">Emerging Markets (EM), EM Asia, EM Eastern Europe, EM Europe, EM Europe and Middle East, EM Far East, EM Latin America</w:t>
            </w:r>
          </w:p>
        </w:tc>
      </w:tr>
      <w:tr>
        <w:tc>
          <w:tcPr/>
          <w:p>
            <w:pPr>
              <w:pStyle w:val="Compact"/>
            </w:pPr>
            <w:r>
              <w:rPr>
                <w:b/>
                <w:bCs/>
              </w:rPr>
              <w:t xml:space="preserve">Country indexes</w:t>
            </w:r>
          </w:p>
        </w:tc>
        <w:tc>
          <w:tcPr/>
          <w:p>
            <w:pPr>
              <w:pStyle w:val="Compact"/>
            </w:pPr>
            <w:r>
              <w:t xml:space="preserve">Australia, Austria, Belgium, Canada, Denmark, Finland, France, Germany, Hong Kong, Ireland, Israel, Italy, Japan, Netherlands, New Zealand, Norway, Portugal, Singapore, Spain, Sweden, Switzerland, U.K., U.S.</w:t>
            </w:r>
          </w:p>
        </w:tc>
        <w:tc>
          <w:tcPr/>
          <w:p>
            <w:pPr>
              <w:pStyle w:val="Compact"/>
            </w:pPr>
            <w:r>
              <w:t xml:space="preserve">Brazil, Chile, China, Colombia, Czech Republic, Egypt, Greece, Hungary, India, Korea, Malaysia, Mexico, Peru, Philippines, Poland, Russia, South Africa, Taiwan, Thailand, Turkey</w:t>
            </w:r>
          </w:p>
        </w:tc>
      </w:tr>
    </w:tbl>
    <w:bookmarkEnd w:id="96"/>
    <w:bookmarkStart w:id="101" w:name="bond-market-indicators"/>
    <w:p>
      <w:pPr>
        <w:pStyle w:val="Heading2"/>
      </w:pPr>
      <w:r>
        <w:t xml:space="preserve">2.4.8 Bond Market Indicators</w:t>
      </w:r>
    </w:p>
    <w:p>
      <w:pPr>
        <w:pStyle w:val="FirstParagraph"/>
      </w:pPr>
      <w:r>
        <w:t xml:space="preserve">Several</w:t>
      </w:r>
      <w:r>
        <w:t xml:space="preserve"> </w:t>
      </w:r>
      <w:r>
        <w:rPr>
          <w:b/>
          <w:bCs/>
        </w:rPr>
        <w:t xml:space="preserve">bond market indexes</w:t>
      </w:r>
      <w:r>
        <w:t xml:space="preserve"> </w:t>
      </w:r>
      <w:r>
        <w:t xml:space="preserve">measure performance across bond categories - the best known are those of</w:t>
      </w:r>
      <w:r>
        <w:t xml:space="preserve"> </w:t>
      </w:r>
      <w:r>
        <w:rPr>
          <w:b/>
          <w:bCs/>
        </w:rPr>
        <w:t xml:space="preserve">Merrill Lynch</w:t>
      </w:r>
      <w:r>
        <w:t xml:space="preserve">,</w:t>
      </w:r>
      <w:r>
        <w:t xml:space="preserve"> </w:t>
      </w:r>
      <w:r>
        <w:rPr>
          <w:b/>
          <w:bCs/>
        </w:rPr>
        <w:t xml:space="preserve">Barclays</w:t>
      </w:r>
      <w:r>
        <w:t xml:space="preserve">, and the</w:t>
      </w:r>
      <w:r>
        <w:t xml:space="preserve"> </w:t>
      </w:r>
      <w:r>
        <w:rPr>
          <w:b/>
          <w:bCs/>
        </w:rPr>
        <w:t xml:space="preserve">Citi Broad Investment Grade Bond Index</w:t>
      </w:r>
      <w:r>
        <w:t xml:space="preserve">. Figure 2.9 shows the components of the U.S. fixed-income market near the close of 2022. A key challenge for these indexes is that many bonds</w:t>
      </w:r>
      <w:r>
        <w:t xml:space="preserve"> </w:t>
      </w:r>
      <w:r>
        <w:rPr>
          <w:b/>
          <w:bCs/>
        </w:rPr>
        <w:t xml:space="preserve">trade infrequently</w:t>
      </w:r>
      <w:r>
        <w:t xml:space="preserve">, so reliable up-to-date prices are hard to obtain; some prices must be estimated from bond-valuation models (so-called</w:t>
      </w:r>
      <w:r>
        <w:t xml:space="preserve"> </w:t>
      </w:r>
      <w:r>
        <w:rPr>
          <w:b/>
          <w:bCs/>
        </w:rPr>
        <w:t xml:space="preserve">matrix values</w:t>
      </w:r>
      <w:r>
        <w:t xml:space="preserve">), which may differ from actual market prices.</w:t>
      </w:r>
    </w:p>
    <w:tbl>
      <w:tblPr>
        <w:tblStyle w:val="Table"/>
        <w:tblW w:type="pct" w:w="5000"/>
        <w:tblLayout w:type="fixed"/>
        <w:tblLook w:firstRow="0" w:lastRow="0" w:firstColumn="0" w:lastColumn="0" w:noHBand="0" w:noVBand="0" w:val="0000"/>
      </w:tblPr>
      <w:tblGrid>
        <w:gridCol w:w="7920"/>
      </w:tblGrid>
      <w:tr>
        <w:tc>
          <w:tcPr/>
          <w:bookmarkStart w:id="100" w:name="fig-fixed-income"/>
          <w:p>
            <w:pPr>
              <w:pStyle w:val="Compact"/>
              <w:jc w:val="center"/>
            </w:pPr>
            <w:r>
              <w:drawing>
                <wp:inline>
                  <wp:extent cx="4267200" cy="2854295"/>
                  <wp:effectExtent b="0" l="0" r="0" t="0"/>
                  <wp:docPr descr="" title="" id="98" name="Picture"/>
                  <a:graphic>
                    <a:graphicData uri="http://schemas.openxmlformats.org/drawingml/2006/picture">
                      <pic:pic>
                        <pic:nvPicPr>
                          <pic:cNvPr descr="../assets/images/Ch02/Figure_2_9_fixed_income_market.png" id="99" name="Picture"/>
                          <pic:cNvPicPr>
                            <a:picLocks noChangeArrowheads="1" noChangeAspect="1"/>
                          </pic:cNvPicPr>
                        </pic:nvPicPr>
                        <pic:blipFill>
                          <a:blip r:embed="rId97"/>
                          <a:stretch>
                            <a:fillRect/>
                          </a:stretch>
                        </pic:blipFill>
                        <pic:spPr bwMode="auto">
                          <a:xfrm>
                            <a:off x="0" y="0"/>
                            <a:ext cx="4267200" cy="285429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Figure 2.9 - The U.S. fixed-income market (values in $ billion).</w:t>
            </w:r>
          </w:p>
          <w:bookmarkEnd w:id="100"/>
        </w:tc>
      </w:tr>
    </w:tbl>
    <w:p>
      <w:r>
        <w:pict>
          <v:rect style="width:0;height:1.5pt" o:hralign="center" o:hrstd="t" o:hr="t"/>
        </w:pict>
      </w:r>
    </w:p>
    <w:bookmarkEnd w:id="101"/>
    <w:bookmarkEnd w:id="102"/>
    <w:bookmarkStart w:id="107" w:name="derivative-markets"/>
    <w:p>
      <w:pPr>
        <w:pStyle w:val="Heading1"/>
      </w:pPr>
      <w:r>
        <w:t xml:space="preserve">2.5 Derivative Markets</w:t>
      </w:r>
    </w:p>
    <w:p>
      <w:pPr>
        <w:pStyle w:val="FirstParagraph"/>
      </w:pPr>
      <w:r>
        <w:t xml:space="preserve">Futures, options, and related</w:t>
      </w:r>
      <w:r>
        <w:t xml:space="preserve"> </w:t>
      </w:r>
      <w:r>
        <w:rPr>
          <w:b/>
          <w:bCs/>
        </w:rPr>
        <w:t xml:space="preserve">derivative contracts</w:t>
      </w:r>
      <w:r>
        <w:t xml:space="preserve"> </w:t>
      </w:r>
      <w:r>
        <w:t xml:space="preserve">provide payoffs that depend on the values of other variables - commodity prices, bond and stock prices, interest rates, or index values. Because their values</w:t>
      </w:r>
      <w:r>
        <w:t xml:space="preserve"> </w:t>
      </w:r>
      <w:r>
        <w:rPr>
          <w:b/>
          <w:bCs/>
        </w:rPr>
        <w:t xml:space="preserve">derive from</w:t>
      </w:r>
      <w:r>
        <w:t xml:space="preserve"> </w:t>
      </w:r>
      <w:r>
        <w:t xml:space="preserve">those of other assets, they are called</w:t>
      </w:r>
      <w:r>
        <w:t xml:space="preserve"> </w:t>
      </w:r>
      <w:r>
        <w:rPr>
          <w:b/>
          <w:bCs/>
        </w:rPr>
        <w:t xml:space="preserve">derivative assets</w:t>
      </w:r>
      <w:r>
        <w:t xml:space="preserve"> </w:t>
      </w:r>
      <w:r>
        <w:t xml:space="preserve">(or contingent claims), covered in detail in Part Five.</w:t>
      </w:r>
    </w:p>
    <w:bookmarkStart w:id="105" w:name="options"/>
    <w:p>
      <w:pPr>
        <w:pStyle w:val="Heading2"/>
      </w:pPr>
      <w:r>
        <w:t xml:space="preserve">2.5.1 Options</w:t>
      </w:r>
    </w:p>
    <w:p>
      <w:pPr>
        <w:pStyle w:val="Compact"/>
        <w:numPr>
          <w:ilvl w:val="0"/>
          <w:numId w:val="1016"/>
        </w:numPr>
      </w:pPr>
      <w:r>
        <w:t xml:space="preserve">A</w:t>
      </w:r>
      <w:r>
        <w:t xml:space="preserve"> </w:t>
      </w:r>
      <w:r>
        <w:rPr>
          <w:b/>
          <w:bCs/>
        </w:rPr>
        <w:t xml:space="preserve">call option</w:t>
      </w:r>
      <w:r>
        <w:t xml:space="preserve"> </w:t>
      </w:r>
      <w:r>
        <w:t xml:space="preserve">gives its holder the</w:t>
      </w:r>
      <w:r>
        <w:t xml:space="preserve"> </w:t>
      </w:r>
      <w:r>
        <w:rPr>
          <w:b/>
          <w:bCs/>
        </w:rPr>
        <w:t xml:space="preserve">right to buy</w:t>
      </w:r>
      <w:r>
        <w:t xml:space="preserve"> </w:t>
      </w:r>
      <w:r>
        <w:t xml:space="preserve">an asset at a specified</w:t>
      </w:r>
      <w:r>
        <w:t xml:space="preserve"> </w:t>
      </w:r>
      <w:r>
        <w:rPr>
          <w:b/>
          <w:bCs/>
        </w:rPr>
        <w:t xml:space="preserve">exercise (strike) price</w:t>
      </w:r>
      <w:r>
        <w:t xml:space="preserve"> </w:t>
      </w:r>
      <w:r>
        <w:t xml:space="preserve">on or before an</w:t>
      </w:r>
      <w:r>
        <w:t xml:space="preserve"> </w:t>
      </w:r>
      <w:r>
        <w:rPr>
          <w:b/>
          <w:bCs/>
        </w:rPr>
        <w:t xml:space="preserve">expiration date</w:t>
      </w:r>
      <w:r>
        <w:t xml:space="preserve">. Each contract covers 100 shares. The holder exercises only if the market price</w:t>
      </w:r>
      <w:r>
        <w:t xml:space="preserve"> </w:t>
      </w:r>
      <w:r>
        <w:rPr>
          <w:b/>
          <w:bCs/>
        </w:rPr>
        <w:t xml:space="preserve">exceeds</w:t>
      </w:r>
      <w:r>
        <w:t xml:space="preserve"> </w:t>
      </w:r>
      <w:r>
        <w:t xml:space="preserve">the exercise price; otherwise the option expires worthless. Calls therefore gain value as the underlying price rises (a bullish vehicle).</w:t>
      </w:r>
    </w:p>
    <w:p>
      <w:pPr>
        <w:pStyle w:val="Compact"/>
        <w:numPr>
          <w:ilvl w:val="0"/>
          <w:numId w:val="1016"/>
        </w:numPr>
      </w:pPr>
      <w:r>
        <w:t xml:space="preserve">A</w:t>
      </w:r>
      <w:r>
        <w:t xml:space="preserve"> </w:t>
      </w:r>
      <w:r>
        <w:rPr>
          <w:b/>
          <w:bCs/>
        </w:rPr>
        <w:t xml:space="preserve">put option</w:t>
      </w:r>
      <w:r>
        <w:t xml:space="preserve"> </w:t>
      </w:r>
      <w:r>
        <w:t xml:space="preserve">gives its holder the</w:t>
      </w:r>
      <w:r>
        <w:t xml:space="preserve"> </w:t>
      </w:r>
      <w:r>
        <w:rPr>
          <w:b/>
          <w:bCs/>
        </w:rPr>
        <w:t xml:space="preserve">right to sell</w:t>
      </w:r>
      <w:r>
        <w:t xml:space="preserve"> </w:t>
      </w:r>
      <w:r>
        <w:t xml:space="preserve">an asset at the exercise price on or before expiration. Puts gain value as the underlying price</w:t>
      </w:r>
      <w:r>
        <w:t xml:space="preserve"> </w:t>
      </w:r>
      <w:r>
        <w:rPr>
          <w:b/>
          <w:bCs/>
        </w:rPr>
        <w:t xml:space="preserve">falls</w:t>
      </w:r>
      <w:r>
        <w:t xml:space="preserve">; the holder exercises only when able to deliver an asset worth less than the exercise price.</w:t>
      </w:r>
    </w:p>
    <w:p>
      <w:pPr>
        <w:pStyle w:val="FirstParagraph"/>
      </w:pPr>
      <w:r>
        <w:rPr>
          <w:b/>
          <w:bCs/>
        </w:rPr>
        <w:t xml:space="preserve">Figure 2.10 - Stock options on Microsoft</w:t>
      </w:r>
      <w:r>
        <w:t xml:space="preserve"> </w:t>
      </w:r>
      <w:r>
        <w:t xml:space="preserve">(Oct. 7, 2022; Microsoft closed at $234.14):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Expiration</w:t>
            </w:r>
          </w:p>
        </w:tc>
        <w:tc>
          <w:tcPr/>
          <w:p>
            <w:pPr>
              <w:pStyle w:val="Compact"/>
            </w:pPr>
            <w:r>
              <w:t xml:space="preserve">Strike</w:t>
            </w:r>
          </w:p>
        </w:tc>
        <w:tc>
          <w:tcPr/>
          <w:p>
            <w:pPr>
              <w:pStyle w:val="Compact"/>
            </w:pPr>
            <w:r>
              <w:t xml:space="preserve">Call</w:t>
            </w:r>
          </w:p>
        </w:tc>
        <w:tc>
          <w:tcPr/>
          <w:p>
            <w:pPr>
              <w:pStyle w:val="Compact"/>
            </w:pPr>
            <w:r>
              <w:t xml:space="preserve">Put</w:t>
            </w:r>
          </w:p>
        </w:tc>
      </w:tr>
      <w:tr>
        <w:tc>
          <w:tcPr/>
          <w:p>
            <w:pPr>
              <w:pStyle w:val="Compact"/>
            </w:pPr>
            <w:r>
              <w:t xml:space="preserve">21-Oct-2022</w:t>
            </w:r>
          </w:p>
        </w:tc>
        <w:tc>
          <w:tcPr/>
          <w:p>
            <w:pPr>
              <w:pStyle w:val="Compact"/>
            </w:pPr>
            <w:r>
              <w:t xml:space="preserve">230</w:t>
            </w:r>
          </w:p>
        </w:tc>
        <w:tc>
          <w:tcPr/>
          <w:p>
            <w:pPr>
              <w:pStyle w:val="Compact"/>
            </w:pPr>
            <w:r>
              <w:t xml:space="preserve">9.40</w:t>
            </w:r>
          </w:p>
        </w:tc>
        <w:tc>
          <w:tcPr/>
          <w:p>
            <w:pPr>
              <w:pStyle w:val="Compact"/>
            </w:pPr>
            <w:r>
              <w:t xml:space="preserve">4.92</w:t>
            </w:r>
          </w:p>
        </w:tc>
      </w:tr>
      <w:tr>
        <w:tc>
          <w:tcPr/>
          <w:p>
            <w:pPr>
              <w:pStyle w:val="Compact"/>
            </w:pPr>
            <w:r>
              <w:t xml:space="preserve">21-Oct-2022</w:t>
            </w:r>
          </w:p>
        </w:tc>
        <w:tc>
          <w:tcPr/>
          <w:p>
            <w:pPr>
              <w:pStyle w:val="Compact"/>
            </w:pPr>
            <w:r>
              <w:t xml:space="preserve">235</w:t>
            </w:r>
          </w:p>
        </w:tc>
        <w:tc>
          <w:tcPr/>
          <w:p>
            <w:pPr>
              <w:pStyle w:val="Compact"/>
            </w:pPr>
            <w:r>
              <w:t xml:space="preserve">6.47</w:t>
            </w:r>
          </w:p>
        </w:tc>
        <w:tc>
          <w:tcPr/>
          <w:p>
            <w:pPr>
              <w:pStyle w:val="Compact"/>
            </w:pPr>
            <w:r>
              <w:t xml:space="preserve">7.05</w:t>
            </w:r>
          </w:p>
        </w:tc>
      </w:tr>
      <w:tr>
        <w:tc>
          <w:tcPr/>
          <w:p>
            <w:pPr>
              <w:pStyle w:val="Compact"/>
            </w:pPr>
            <w:r>
              <w:t xml:space="preserve">21-Oct-2022</w:t>
            </w:r>
          </w:p>
        </w:tc>
        <w:tc>
          <w:tcPr/>
          <w:p>
            <w:pPr>
              <w:pStyle w:val="Compact"/>
            </w:pPr>
            <w:r>
              <w:t xml:space="preserve">240</w:t>
            </w:r>
          </w:p>
        </w:tc>
        <w:tc>
          <w:tcPr/>
          <w:p>
            <w:pPr>
              <w:pStyle w:val="Compact"/>
            </w:pPr>
            <w:r>
              <w:t xml:space="preserve">4.15</w:t>
            </w:r>
          </w:p>
        </w:tc>
        <w:tc>
          <w:tcPr/>
          <w:p>
            <w:pPr>
              <w:pStyle w:val="Compact"/>
            </w:pPr>
            <w:r>
              <w:t xml:space="preserve">9.75</w:t>
            </w:r>
          </w:p>
        </w:tc>
      </w:tr>
      <w:tr>
        <w:tc>
          <w:tcPr/>
          <w:p>
            <w:pPr>
              <w:pStyle w:val="Compact"/>
            </w:pPr>
            <w:r>
              <w:t xml:space="preserve">18-Nov-2022</w:t>
            </w:r>
          </w:p>
        </w:tc>
        <w:tc>
          <w:tcPr/>
          <w:p>
            <w:pPr>
              <w:pStyle w:val="Compact"/>
            </w:pPr>
            <w:r>
              <w:t xml:space="preserve">230</w:t>
            </w:r>
          </w:p>
        </w:tc>
        <w:tc>
          <w:tcPr/>
          <w:p>
            <w:pPr>
              <w:pStyle w:val="Compact"/>
            </w:pPr>
            <w:r>
              <w:t xml:space="preserve">14.87</w:t>
            </w:r>
          </w:p>
        </w:tc>
        <w:tc>
          <w:tcPr/>
          <w:p>
            <w:pPr>
              <w:pStyle w:val="Compact"/>
            </w:pPr>
            <w:r>
              <w:t xml:space="preserve">10.22</w:t>
            </w:r>
          </w:p>
        </w:tc>
      </w:tr>
      <w:tr>
        <w:tc>
          <w:tcPr/>
          <w:p>
            <w:pPr>
              <w:pStyle w:val="Compact"/>
            </w:pPr>
            <w:r>
              <w:t xml:space="preserve">18-Nov-2022</w:t>
            </w:r>
          </w:p>
        </w:tc>
        <w:tc>
          <w:tcPr/>
          <w:p>
            <w:pPr>
              <w:pStyle w:val="Compact"/>
            </w:pPr>
            <w:r>
              <w:t xml:space="preserve">235</w:t>
            </w:r>
          </w:p>
        </w:tc>
        <w:tc>
          <w:tcPr/>
          <w:p>
            <w:pPr>
              <w:pStyle w:val="Compact"/>
            </w:pPr>
            <w:r>
              <w:t xml:space="preserve">12.05</w:t>
            </w:r>
          </w:p>
        </w:tc>
        <w:tc>
          <w:tcPr/>
          <w:p>
            <w:pPr>
              <w:pStyle w:val="Compact"/>
            </w:pPr>
            <w:r>
              <w:t xml:space="preserve">12.40</w:t>
            </w:r>
          </w:p>
        </w:tc>
      </w:tr>
      <w:tr>
        <w:tc>
          <w:tcPr/>
          <w:p>
            <w:pPr>
              <w:pStyle w:val="Compact"/>
            </w:pPr>
            <w:r>
              <w:t xml:space="preserve">18-Nov-2022</w:t>
            </w:r>
          </w:p>
        </w:tc>
        <w:tc>
          <w:tcPr/>
          <w:p>
            <w:pPr>
              <w:pStyle w:val="Compact"/>
            </w:pPr>
            <w:r>
              <w:t xml:space="preserve">240</w:t>
            </w:r>
          </w:p>
        </w:tc>
        <w:tc>
          <w:tcPr/>
          <w:p>
            <w:pPr>
              <w:pStyle w:val="Compact"/>
            </w:pPr>
            <w:r>
              <w:t xml:space="preserve">9.50</w:t>
            </w:r>
          </w:p>
        </w:tc>
        <w:tc>
          <w:tcPr/>
          <w:p>
            <w:pPr>
              <w:pStyle w:val="Compact"/>
            </w:pPr>
            <w:r>
              <w:t xml:space="preserve">14.90</w:t>
            </w:r>
          </w:p>
        </w:tc>
      </w:tr>
    </w:tbl>
    <w:p>
      <w:pPr>
        <w:pStyle w:val="BodyText"/>
      </w:pPr>
      <w:r>
        <w:t xml:space="preserve">Two patterns emerge from the listing:</w:t>
      </w:r>
    </w:p>
    <w:p>
      <w:pPr>
        <w:pStyle w:val="Compact"/>
        <w:numPr>
          <w:ilvl w:val="0"/>
          <w:numId w:val="1017"/>
        </w:numPr>
      </w:pPr>
      <w:r>
        <w:rPr>
          <w:b/>
          <w:bCs/>
        </w:rPr>
        <w:t xml:space="preserve">Call prices fall, and put prices rise, as the strike increases.</w:t>
      </w:r>
      <w:r>
        <w:t xml:space="preserve"> </w:t>
      </w:r>
      <w:r>
        <w:t xml:space="preserve">The October 235 call last traded at $6.47 (so one contract on 100 shares costs $647); the 240 call costs only $4.15, because the right to buy at a higher price is less valuable. Conversely, the 235 put costs $7.05 while the 240 put costs $9.75.</w:t>
      </w:r>
    </w:p>
    <w:p>
      <w:pPr>
        <w:pStyle w:val="Compact"/>
        <w:numPr>
          <w:ilvl w:val="0"/>
          <w:numId w:val="1017"/>
        </w:numPr>
      </w:pPr>
      <w:r>
        <w:rPr>
          <w:b/>
          <w:bCs/>
        </w:rPr>
        <w:t xml:space="preserve">Both calls and puts cost more with more time to expiration.</w:t>
      </w:r>
      <w:r>
        <w:t xml:space="preserve"> </w:t>
      </w:r>
      <w:r>
        <w:t xml:space="preserve">The 235 call expiring November 18 ($12.05) costs more than the October 21 call ($6.47).</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3" name="Picture"/>
                  <a:graphic>
                    <a:graphicData uri="http://schemas.openxmlformats.org/drawingml/2006/picture">
                      <pic:pic>
                        <pic:nvPicPr>
                          <pic:cNvPr descr="/Applications/quarto/share/formats/docx/tip.png" id="104"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Concept Check 2.6</w:t>
            </w:r>
            <w:r>
              <w:t xml:space="preserve"> </w:t>
            </w:r>
            <w:r>
              <w:t xml:space="preserve">- What is the per-share profit or loss to an investor who buys the October Microsoft call with exercise price $235 if the stock is $245 at expiration? What about a buyer of the put with the same exercise price and expiration?</w:t>
            </w:r>
            <w:r>
              <w:t xml:space="preserve"> </w:t>
            </w:r>
            <w:r>
              <w:rPr>
                <w:i/>
                <w:iCs/>
              </w:rPr>
              <w:t xml:space="preserve">(Solution at the end.)</w:t>
            </w:r>
          </w:p>
        </w:tc>
      </w:tr>
    </w:tbl>
    <w:bookmarkEnd w:id="105"/>
    <w:bookmarkStart w:id="106" w:name="futures-contracts"/>
    <w:p>
      <w:pPr>
        <w:pStyle w:val="Heading2"/>
      </w:pPr>
      <w:r>
        <w:t xml:space="preserve">2.5.2 Futures Contracts</w:t>
      </w:r>
    </w:p>
    <w:p>
      <w:pPr>
        <w:pStyle w:val="FirstParagraph"/>
      </w:pPr>
      <w:r>
        <w:t xml:space="preserve">A</w:t>
      </w:r>
      <w:r>
        <w:t xml:space="preserve"> </w:t>
      </w:r>
      <w:r>
        <w:rPr>
          <w:b/>
          <w:bCs/>
        </w:rPr>
        <w:t xml:space="preserve">futures contract</w:t>
      </w:r>
      <w:r>
        <w:t xml:space="preserve"> </w:t>
      </w:r>
      <w:r>
        <w:t xml:space="preserve">calls for</w:t>
      </w:r>
      <w:r>
        <w:t xml:space="preserve"> </w:t>
      </w:r>
      <w:r>
        <w:rPr>
          <w:b/>
          <w:bCs/>
        </w:rPr>
        <w:t xml:space="preserve">delivery</w:t>
      </w:r>
      <w:r>
        <w:t xml:space="preserve"> </w:t>
      </w:r>
      <w:r>
        <w:t xml:space="preserve">of an asset (or its cash value) at a specified maturity date, for an agreed-upon</w:t>
      </w:r>
      <w:r>
        <w:t xml:space="preserve"> </w:t>
      </w:r>
      <w:r>
        <w:rPr>
          <w:b/>
          <w:bCs/>
        </w:rPr>
        <w:t xml:space="preserve">futures price</w:t>
      </w:r>
      <w:r>
        <w:t xml:space="preserve"> </w:t>
      </w:r>
      <w:r>
        <w:t xml:space="preserve">also paid at maturity. The</w:t>
      </w:r>
      <w:r>
        <w:t xml:space="preserve"> </w:t>
      </w:r>
      <w:r>
        <w:rPr>
          <w:b/>
          <w:bCs/>
        </w:rPr>
        <w:t xml:space="preserve">long position</w:t>
      </w:r>
      <w:r>
        <w:t xml:space="preserve"> </w:t>
      </w:r>
      <w:r>
        <w:t xml:space="preserve">commits to</w:t>
      </w:r>
      <w:r>
        <w:t xml:space="preserve"> </w:t>
      </w:r>
      <w:r>
        <w:rPr>
          <w:i/>
          <w:iCs/>
        </w:rPr>
        <w:t xml:space="preserve">purchasing</w:t>
      </w:r>
      <w:r>
        <w:t xml:space="preserve"> </w:t>
      </w:r>
      <w:r>
        <w:t xml:space="preserve">the asset; the</w:t>
      </w:r>
      <w:r>
        <w:t xml:space="preserve"> </w:t>
      </w:r>
      <w:r>
        <w:rPr>
          <w:b/>
          <w:bCs/>
        </w:rPr>
        <w:t xml:space="preserve">short position</w:t>
      </w:r>
      <w:r>
        <w:t xml:space="preserve"> </w:t>
      </w:r>
      <w:r>
        <w:t xml:space="preserve">commits to</w:t>
      </w:r>
      <w:r>
        <w:t xml:space="preserve"> </w:t>
      </w:r>
      <w:r>
        <w:rPr>
          <w:i/>
          <w:iCs/>
        </w:rPr>
        <w:t xml:space="preserve">delivering</w:t>
      </w:r>
      <w:r>
        <w:t xml:space="preserve"> </w:t>
      </w:r>
      <w:r>
        <w:t xml:space="preserve">it. The long gains when prices rise; the short’s loss equals the long’s gain.</w:t>
      </w:r>
    </w:p>
    <w:p>
      <w:pPr>
        <w:pStyle w:val="BodyText"/>
      </w:pPr>
      <w:r>
        <w:rPr>
          <w:b/>
          <w:bCs/>
        </w:rPr>
        <w:t xml:space="preserve">Figure 2.11 - Corn futures prices</w:t>
      </w:r>
      <w:r>
        <w:t xml:space="preserve"> </w:t>
      </w:r>
      <w:r>
        <w:t xml:space="preserve">on the Chicago Mercantile Exchange (Oct. 7, 2022; each contract = 5,000 bushels):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Maturity</w:t>
            </w:r>
          </w:p>
        </w:tc>
        <w:tc>
          <w:tcPr/>
          <w:p>
            <w:pPr>
              <w:pStyle w:val="Compact"/>
            </w:pPr>
            <w:r>
              <w:t xml:space="preserve">Last</w:t>
            </w:r>
          </w:p>
        </w:tc>
        <w:tc>
          <w:tcPr/>
          <w:p>
            <w:pPr>
              <w:pStyle w:val="Compact"/>
            </w:pPr>
            <w:r>
              <w:t xml:space="preserve">Change</w:t>
            </w:r>
          </w:p>
        </w:tc>
        <w:tc>
          <w:tcPr/>
          <w:p>
            <w:pPr>
              <w:pStyle w:val="Compact"/>
            </w:pPr>
            <w:r>
              <w:t xml:space="preserve">High</w:t>
            </w:r>
          </w:p>
        </w:tc>
        <w:tc>
          <w:tcPr/>
          <w:p>
            <w:pPr>
              <w:pStyle w:val="Compact"/>
            </w:pPr>
            <w:r>
              <w:t xml:space="preserve">Low</w:t>
            </w:r>
          </w:p>
        </w:tc>
      </w:tr>
      <w:tr>
        <w:tc>
          <w:tcPr/>
          <w:p>
            <w:pPr>
              <w:pStyle w:val="Compact"/>
            </w:pPr>
            <w:r>
              <w:t xml:space="preserve">Dec-22</w:t>
            </w:r>
          </w:p>
        </w:tc>
        <w:tc>
          <w:tcPr/>
          <w:p>
            <w:pPr>
              <w:pStyle w:val="Compact"/>
            </w:pPr>
            <w:r>
              <w:t xml:space="preserve">6.8300</w:t>
            </w:r>
          </w:p>
        </w:tc>
        <w:tc>
          <w:tcPr/>
          <w:p>
            <w:pPr>
              <w:pStyle w:val="Compact"/>
            </w:pPr>
            <w:r>
              <w:t xml:space="preserve">0.0500</w:t>
            </w:r>
          </w:p>
        </w:tc>
        <w:tc>
          <w:tcPr/>
          <w:p>
            <w:pPr>
              <w:pStyle w:val="Compact"/>
            </w:pPr>
            <w:r>
              <w:t xml:space="preserve">6.8450</w:t>
            </w:r>
          </w:p>
        </w:tc>
        <w:tc>
          <w:tcPr/>
          <w:p>
            <w:pPr>
              <w:pStyle w:val="Compact"/>
            </w:pPr>
            <w:r>
              <w:t xml:space="preserve">6.7140</w:t>
            </w:r>
          </w:p>
        </w:tc>
      </w:tr>
      <w:tr>
        <w:tc>
          <w:tcPr/>
          <w:p>
            <w:pPr>
              <w:pStyle w:val="Compact"/>
            </w:pPr>
            <w:r>
              <w:t xml:space="preserve">Mar-23</w:t>
            </w:r>
          </w:p>
        </w:tc>
        <w:tc>
          <w:tcPr/>
          <w:p>
            <w:pPr>
              <w:pStyle w:val="Compact"/>
            </w:pPr>
            <w:r>
              <w:t xml:space="preserve">6.9050</w:t>
            </w:r>
          </w:p>
        </w:tc>
        <w:tc>
          <w:tcPr/>
          <w:p>
            <w:pPr>
              <w:pStyle w:val="Compact"/>
            </w:pPr>
            <w:r>
              <w:t xml:space="preserve">0.0725</w:t>
            </w:r>
          </w:p>
        </w:tc>
        <w:tc>
          <w:tcPr/>
          <w:p>
            <w:pPr>
              <w:pStyle w:val="Compact"/>
            </w:pPr>
            <w:r>
              <w:t xml:space="preserve">6.9175</w:t>
            </w:r>
          </w:p>
        </w:tc>
        <w:tc>
          <w:tcPr/>
          <w:p>
            <w:pPr>
              <w:pStyle w:val="Compact"/>
            </w:pPr>
            <w:r>
              <w:t xml:space="preserve">6.7900</w:t>
            </w:r>
          </w:p>
        </w:tc>
      </w:tr>
      <w:tr>
        <w:tc>
          <w:tcPr/>
          <w:p>
            <w:pPr>
              <w:pStyle w:val="Compact"/>
            </w:pPr>
            <w:r>
              <w:t xml:space="preserve">May-23</w:t>
            </w:r>
          </w:p>
        </w:tc>
        <w:tc>
          <w:tcPr/>
          <w:p>
            <w:pPr>
              <w:pStyle w:val="Compact"/>
            </w:pPr>
            <w:r>
              <w:t xml:space="preserve">6.9150</w:t>
            </w:r>
          </w:p>
        </w:tc>
        <w:tc>
          <w:tcPr/>
          <w:p>
            <w:pPr>
              <w:pStyle w:val="Compact"/>
            </w:pPr>
            <w:r>
              <w:t xml:space="preserve">0.0675</w:t>
            </w:r>
          </w:p>
        </w:tc>
        <w:tc>
          <w:tcPr/>
          <w:p>
            <w:pPr>
              <w:pStyle w:val="Compact"/>
            </w:pPr>
            <w:r>
              <w:t xml:space="preserve">6.9300</w:t>
            </w:r>
          </w:p>
        </w:tc>
        <w:tc>
          <w:tcPr/>
          <w:p>
            <w:pPr>
              <w:pStyle w:val="Compact"/>
            </w:pPr>
            <w:r>
              <w:t xml:space="preserve">6.8075</w:t>
            </w:r>
          </w:p>
        </w:tc>
      </w:tr>
      <w:tr>
        <w:tc>
          <w:tcPr/>
          <w:p>
            <w:pPr>
              <w:pStyle w:val="Compact"/>
            </w:pPr>
            <w:r>
              <w:t xml:space="preserve">Dec-23</w:t>
            </w:r>
          </w:p>
        </w:tc>
        <w:tc>
          <w:tcPr/>
          <w:p>
            <w:pPr>
              <w:pStyle w:val="Compact"/>
            </w:pPr>
            <w:r>
              <w:t xml:space="preserve">6.2425</w:t>
            </w:r>
          </w:p>
        </w:tc>
        <w:tc>
          <w:tcPr/>
          <w:p>
            <w:pPr>
              <w:pStyle w:val="Compact"/>
            </w:pPr>
            <w:r>
              <w:t xml:space="preserve">0.0350</w:t>
            </w:r>
          </w:p>
        </w:tc>
        <w:tc>
          <w:tcPr/>
          <w:p>
            <w:pPr>
              <w:pStyle w:val="Compact"/>
            </w:pPr>
            <w:r>
              <w:t xml:space="preserve">6.2500</w:t>
            </w:r>
          </w:p>
        </w:tc>
        <w:tc>
          <w:tcPr/>
          <w:p>
            <w:pPr>
              <w:pStyle w:val="Compact"/>
            </w:pPr>
            <w:r>
              <w:t xml:space="preserve">6.1750</w:t>
            </w:r>
          </w:p>
        </w:tc>
      </w:tr>
      <w:tr>
        <w:tc>
          <w:tcPr/>
          <w:p>
            <w:pPr>
              <w:pStyle w:val="Compact"/>
            </w:pPr>
            <w:r>
              <w:t xml:space="preserve">Jul-24</w:t>
            </w:r>
          </w:p>
        </w:tc>
        <w:tc>
          <w:tcPr/>
          <w:p>
            <w:pPr>
              <w:pStyle w:val="Compact"/>
            </w:pPr>
            <w:r>
              <w:t xml:space="preserve">6.3000</w:t>
            </w:r>
          </w:p>
        </w:tc>
        <w:tc>
          <w:tcPr/>
          <w:p>
            <w:pPr>
              <w:pStyle w:val="Compact"/>
            </w:pPr>
            <w:r>
              <w:t xml:space="preserve">0.0475</w:t>
            </w:r>
          </w:p>
        </w:tc>
        <w:tc>
          <w:tcPr/>
          <w:p>
            <w:pPr>
              <w:pStyle w:val="Compact"/>
            </w:pPr>
            <w:r>
              <w:t xml:space="preserve">5.6400</w:t>
            </w:r>
          </w:p>
        </w:tc>
        <w:tc>
          <w:tcPr/>
          <w:p>
            <w:pPr>
              <w:pStyle w:val="Compact"/>
            </w:pPr>
            <w:r>
              <w:t xml:space="preserve">5.6600</w:t>
            </w:r>
          </w:p>
        </w:tc>
      </w:tr>
    </w:tbl>
    <w:p>
      <w:pPr>
        <w:pStyle w:val="BodyText"/>
      </w:pPr>
      <w:r>
        <w:t xml:space="preserve">The front (nearest) contract, December 2022, last traded at $6.83 per bushel. If corn sells for $6.85 at expiration, the long earns</w:t>
      </w:r>
      <w:r>
        <w:t xml:space="preserve"> </w:t>
      </w:r>
      <m:oMath>
        <m:r>
          <m:t>5</m:t>
        </m:r>
        <m:r>
          <m:rPr>
            <m:sty m:val="p"/>
          </m:rPr>
          <m:t>,</m:t>
        </m:r>
        <m:r>
          <m:t>000</m:t>
        </m:r>
        <m:r>
          <m:rPr>
            <m:sty m:val="p"/>
          </m:rPr>
          <m:t>×</m:t>
        </m:r>
        <m:d>
          <m:dPr>
            <m:begChr m:val="("/>
            <m:sepChr m:val=""/>
            <m:endChr m:val=")"/>
            <m:grow/>
          </m:dPr>
          <m:e>
            <m:r>
              <m:rPr>
                <m:sty m:val="p"/>
              </m:rPr>
              <m:t>$</m:t>
            </m:r>
            <m:r>
              <m:t>6.85</m:t>
            </m:r>
            <m:r>
              <m:rPr>
                <m:sty m:val="p"/>
              </m:rPr>
              <m:t>−</m:t>
            </m:r>
            <m:r>
              <m:rPr>
                <m:sty m:val="p"/>
              </m:rPr>
              <m:t>$</m:t>
            </m:r>
            <m:r>
              <m:t>6.83</m:t>
            </m:r>
          </m:e>
        </m:d>
        <m:r>
          <m:rPr>
            <m:sty m:val="p"/>
          </m:rPr>
          <m:t>=</m:t>
        </m:r>
        <m:r>
          <m:rPr>
            <m:sty m:val="p"/>
          </m:rPr>
          <m:t>$</m:t>
        </m:r>
        <m:r>
          <m:t>100</m:t>
        </m:r>
      </m:oMath>
      <w:r>
        <w:t xml:space="preserve">, while the short loses the same amount.</w:t>
      </w:r>
    </w:p>
    <w:p>
      <w:pPr>
        <w:pStyle w:val="BodyText"/>
      </w:pPr>
      <w:r>
        <w:rPr>
          <w:b/>
          <w:bCs/>
        </w:rPr>
        <w:t xml:space="preserve">Options versus futures.</w:t>
      </w:r>
      <w:r>
        <w:t xml:space="preserve"> </w:t>
      </w:r>
      <w:r>
        <w:t xml:space="preserve">The crucial distinction is</w:t>
      </w:r>
      <w:r>
        <w:t xml:space="preserve"> </w:t>
      </w:r>
      <w:r>
        <w:rPr>
          <w:b/>
          <w:bCs/>
        </w:rPr>
        <w:t xml:space="preserve">right versus obligation</w:t>
      </w:r>
      <w:r>
        <w:t xml:space="preserve">. A futures contract</w:t>
      </w:r>
      <w:r>
        <w:t xml:space="preserve"> </w:t>
      </w:r>
      <w:r>
        <w:rPr>
          <w:b/>
          <w:bCs/>
        </w:rPr>
        <w:t xml:space="preserve">obliges</w:t>
      </w:r>
      <w:r>
        <w:t xml:space="preserve"> </w:t>
      </w:r>
      <w:r>
        <w:t xml:space="preserve">the long to buy at the futures price; a call option merely</w:t>
      </w:r>
      <w:r>
        <w:t xml:space="preserve"> </w:t>
      </w:r>
      <w:r>
        <w:rPr>
          <w:b/>
          <w:bCs/>
        </w:rPr>
        <w:t xml:space="preserve">conveys the right</w:t>
      </w:r>
      <w:r>
        <w:t xml:space="preserve"> </w:t>
      </w:r>
      <w:r>
        <w:t xml:space="preserve">to buy at the exercise price - exercised only if the asset is worth more. The call holder therefore has a better position than a long future at the same price, but this advantage has a cost: options must be</w:t>
      </w:r>
      <w:r>
        <w:t xml:space="preserve"> </w:t>
      </w:r>
      <w:r>
        <w:rPr>
          <w:b/>
          <w:bCs/>
        </w:rPr>
        <w:t xml:space="preserve">purchased</w:t>
      </w:r>
      <w:r>
        <w:t xml:space="preserve"> </w:t>
      </w:r>
      <w:r>
        <w:t xml:space="preserve">(the price is the</w:t>
      </w:r>
      <w:r>
        <w:t xml:space="preserve"> </w:t>
      </w:r>
      <w:r>
        <w:rPr>
          <w:b/>
          <w:bCs/>
        </w:rPr>
        <w:t xml:space="preserve">premium</w:t>
      </w:r>
      <w:r>
        <w:t xml:space="preserve">), whereas futures are entered</w:t>
      </w:r>
      <w:r>
        <w:t xml:space="preserve"> </w:t>
      </w:r>
      <w:r>
        <w:rPr>
          <w:b/>
          <w:bCs/>
        </w:rPr>
        <w:t xml:space="preserve">without cost</w:t>
      </w:r>
      <w:r>
        <w:t xml:space="preserve">. Similarly, a put differs from a short futures position by conveying the</w:t>
      </w:r>
      <w:r>
        <w:t xml:space="preserve"> </w:t>
      </w:r>
      <w:r>
        <w:rPr>
          <w:b/>
          <w:bCs/>
        </w:rPr>
        <w:t xml:space="preserve">right</w:t>
      </w:r>
      <w:r>
        <w:t xml:space="preserve">, rather than the</w:t>
      </w:r>
      <w:r>
        <w:t xml:space="preserve"> </w:t>
      </w:r>
      <w:r>
        <w:rPr>
          <w:b/>
          <w:bCs/>
        </w:rPr>
        <w:t xml:space="preserve">obligation</w:t>
      </w:r>
      <w:r>
        <w:t xml:space="preserve">, to sell.</w:t>
      </w:r>
    </w:p>
    <w:p>
      <w:r>
        <w:pict>
          <v:rect style="width:0;height:1.5pt" o:hralign="center" o:hrstd="t" o:hr="t"/>
        </w:pict>
      </w:r>
    </w:p>
    <w:bookmarkEnd w:id="106"/>
    <w:bookmarkEnd w:id="107"/>
    <w:bookmarkStart w:id="108" w:name="concept-check-solutions"/>
    <w:p>
      <w:pPr>
        <w:pStyle w:val="Heading1"/>
      </w:pPr>
      <w:r>
        <w:t xml:space="preserve">Concept Check Solutions</w:t>
      </w:r>
    </w:p>
    <w:p>
      <w:pPr>
        <w:pStyle w:val="FirstParagraph"/>
      </w:pPr>
      <w:r>
        <w:rPr>
          <w:b/>
          <w:bCs/>
        </w:rPr>
        <w:t xml:space="preserve">2.1</w:t>
      </w:r>
      <w:r>
        <w:t xml:space="preserve"> </w:t>
      </w:r>
      <w:r>
        <w:t xml:space="preserve">The bid price is 96.2875% of par = $962.875; the asked price is 96.30% = $963.00, corresponding to a yield of 4.254%. The ask price fell 0.018 from the prior day, so it was 96.318, or $963.18, yesterday.</w:t>
      </w:r>
    </w:p>
    <w:p>
      <w:pPr>
        <w:pStyle w:val="BodyText"/>
      </w:pPr>
      <w:r>
        <w:rPr>
          <w:b/>
          <w:bCs/>
        </w:rPr>
        <w:t xml:space="preserve">2.2</w:t>
      </w:r>
      <w:r>
        <w:t xml:space="preserve"> </w:t>
      </w:r>
      <w:r>
        <w:t xml:space="preserve">A 6% taxable return is equivalent to an after-tax return of</w:t>
      </w:r>
      <w:r>
        <w:t xml:space="preserve"> </w:t>
      </w:r>
      <m:oMath>
        <m:r>
          <m:t>6</m:t>
        </m:r>
        <m:r>
          <m:rPr>
            <m:sty m:val="p"/>
          </m:rPr>
          <m:t>%</m:t>
        </m:r>
        <m:d>
          <m:dPr>
            <m:begChr m:val="("/>
            <m:sepChr m:val=""/>
            <m:endChr m:val=")"/>
            <m:grow/>
          </m:dPr>
          <m:e>
            <m:r>
              <m:t>1</m:t>
            </m:r>
            <m:r>
              <m:rPr>
                <m:sty m:val="p"/>
              </m:rPr>
              <m:t>−</m:t>
            </m:r>
            <m:r>
              <m:t>.30</m:t>
            </m:r>
          </m:e>
        </m:d>
        <m:r>
          <m:rPr>
            <m:sty m:val="p"/>
          </m:rPr>
          <m:t>=</m:t>
        </m:r>
        <m:r>
          <m:t>4.2</m:t>
        </m:r>
        <m:r>
          <m:rPr>
            <m:sty m:val="p"/>
          </m:rPr>
          <m:t>%</m:t>
        </m:r>
      </m:oMath>
      <w:r>
        <w:t xml:space="preserve">, so you would be better off in the taxable bond. The equivalent taxable yield of the 4% tax-free bond is</w:t>
      </w:r>
      <w:r>
        <w:t xml:space="preserve"> </w:t>
      </w:r>
      <m:oMath>
        <m:r>
          <m:t>4</m:t>
        </m:r>
        <m:r>
          <m:rPr>
            <m:sty m:val="p"/>
          </m:rPr>
          <m:t>%</m:t>
        </m:r>
        <m:r>
          <m:rPr>
            <m:sty m:val="p"/>
          </m:rPr>
          <m:t>/</m:t>
        </m:r>
        <m:d>
          <m:dPr>
            <m:begChr m:val="("/>
            <m:sepChr m:val=""/>
            <m:endChr m:val=")"/>
            <m:grow/>
          </m:dPr>
          <m:e>
            <m:r>
              <m:t>1</m:t>
            </m:r>
            <m:r>
              <m:rPr>
                <m:sty m:val="p"/>
              </m:rPr>
              <m:t>−</m:t>
            </m:r>
            <m:r>
              <m:t>.3</m:t>
            </m:r>
          </m:e>
        </m:d>
        <m:r>
          <m:rPr>
            <m:sty m:val="p"/>
          </m:rPr>
          <m:t>=</m:t>
        </m:r>
        <m:r>
          <m:t>5.71</m:t>
        </m:r>
        <m:r>
          <m:rPr>
            <m:sty m:val="p"/>
          </m:rPr>
          <m:t>%</m:t>
        </m:r>
      </m:oMath>
      <w:r>
        <w:t xml:space="preserve"> </w:t>
      </w:r>
      <w:r>
        <w:t xml:space="preserve">- a taxable bond would need to pay 5.71% to match a 4% tax-free yield.</w:t>
      </w:r>
    </w:p>
    <w:p>
      <w:pPr>
        <w:pStyle w:val="BodyText"/>
      </w:pPr>
      <w:r>
        <w:rPr>
          <w:b/>
          <w:bCs/>
        </w:rPr>
        <w:t xml:space="preserve">2.3</w:t>
      </w:r>
      <w:r>
        <w:t xml:space="preserve"> </w:t>
      </w:r>
      <w:r>
        <w:t xml:space="preserve">(a) You are entitled to a prorated share of Intel’s dividend payments and to vote in stockholder meetings. (b) Your potential gain is unlimited, because the stock price has no upper bound. (c) Your outlay was</w:t>
      </w:r>
      <w:r>
        <w:t xml:space="preserve"> </w:t>
      </w:r>
      <m:oMath>
        <m:r>
          <m:rPr>
            <m:sty m:val="p"/>
          </m:rPr>
          <m:t>$</m:t>
        </m:r>
        <m:r>
          <m:t>30</m:t>
        </m:r>
        <m:r>
          <m:rPr>
            <m:sty m:val="p"/>
          </m:rPr>
          <m:t>×</m:t>
        </m:r>
        <m:r>
          <m:t>100</m:t>
        </m:r>
        <m:r>
          <m:rPr>
            <m:sty m:val="p"/>
          </m:rPr>
          <m:t>=</m:t>
        </m:r>
        <m:r>
          <m:rPr>
            <m:sty m:val="p"/>
          </m:rPr>
          <m:t>$</m:t>
        </m:r>
        <m:r>
          <m:t>3</m:t>
        </m:r>
        <m:r>
          <m:rPr>
            <m:sty m:val="p"/>
          </m:rPr>
          <m:t>,</m:t>
        </m:r>
        <m:r>
          <m:t>000</m:t>
        </m:r>
      </m:oMath>
      <w:r>
        <w:t xml:space="preserve">; because of limited liability, that is the most you can lose.</w:t>
      </w:r>
    </w:p>
    <w:p>
      <w:pPr>
        <w:pStyle w:val="BodyText"/>
      </w:pPr>
      <w:r>
        <w:rPr>
          <w:b/>
          <w:bCs/>
        </w:rPr>
        <w:t xml:space="preserve">2.4</w:t>
      </w:r>
      <w:r>
        <w:t xml:space="preserve"> </w:t>
      </w:r>
      <w:r>
        <w:t xml:space="preserve">The price-weighted index rises from</w:t>
      </w:r>
      <w:r>
        <w:t xml:space="preserve"> </w:t>
      </w:r>
      <m:oMath>
        <m:r>
          <m:t>62.50</m:t>
        </m:r>
        <m:r>
          <m:t> </m:t>
        </m:r>
        <m:d>
          <m:dPr>
            <m:begChr m:val="["/>
            <m:sepChr m:val=""/>
            <m:endChr m:val="]"/>
            <m:grow/>
          </m:dPr>
          <m:e>
            <m:r>
              <m:rPr>
                <m:sty m:val="p"/>
              </m:rPr>
              <m:t>=</m:t>
            </m:r>
            <m:d>
              <m:dPr>
                <m:begChr m:val="("/>
                <m:sepChr m:val=""/>
                <m:endChr m:val=")"/>
                <m:grow/>
              </m:dPr>
              <m:e>
                <m:r>
                  <m:t>100</m:t>
                </m:r>
                <m:r>
                  <m:rPr>
                    <m:sty m:val="p"/>
                  </m:rPr>
                  <m:t>+</m:t>
                </m:r>
                <m:r>
                  <m:t>25</m:t>
                </m:r>
              </m:e>
            </m:d>
            <m:r>
              <m:rPr>
                <m:sty m:val="p"/>
              </m:rPr>
              <m:t>/</m:t>
            </m:r>
            <m:r>
              <m:t>2</m:t>
            </m:r>
          </m:e>
        </m:d>
      </m:oMath>
      <w:r>
        <w:t xml:space="preserve"> </w:t>
      </w:r>
      <w:r>
        <w:t xml:space="preserve">to</w:t>
      </w:r>
      <w:r>
        <w:t xml:space="preserve"> </w:t>
      </w:r>
      <m:oMath>
        <m:r>
          <m:t>65</m:t>
        </m:r>
        <m:r>
          <m:t> </m:t>
        </m:r>
        <m:d>
          <m:dPr>
            <m:begChr m:val="["/>
            <m:sepChr m:val=""/>
            <m:endChr m:val="]"/>
            <m:grow/>
          </m:dPr>
          <m:e>
            <m:r>
              <m:rPr>
                <m:sty m:val="p"/>
              </m:rPr>
              <m:t>=</m:t>
            </m:r>
            <m:d>
              <m:dPr>
                <m:begChr m:val="("/>
                <m:sepChr m:val=""/>
                <m:endChr m:val=")"/>
                <m:grow/>
              </m:dPr>
              <m:e>
                <m:r>
                  <m:t>110</m:t>
                </m:r>
                <m:r>
                  <m:rPr>
                    <m:sty m:val="p"/>
                  </m:rPr>
                  <m:t>+</m:t>
                </m:r>
                <m:r>
                  <m:t>20</m:t>
                </m:r>
              </m:e>
            </m:d>
            <m:r>
              <m:rPr>
                <m:sty m:val="p"/>
              </m:rPr>
              <m:t>/</m:t>
            </m:r>
            <m:r>
              <m:t>2</m:t>
            </m:r>
          </m:e>
        </m:d>
      </m:oMath>
      <w:r>
        <w:t xml:space="preserve">, a gain of 4%. A one-share-each portfolio requires $125 and grows to $130, a return of</w:t>
      </w:r>
      <w:r>
        <w:t xml:space="preserve"> </w:t>
      </w:r>
      <m:oMath>
        <m:r>
          <m:t>4</m:t>
        </m:r>
        <m:r>
          <m:rPr>
            <m:sty m:val="p"/>
          </m:rPr>
          <m:t>%</m:t>
        </m:r>
        <m:r>
          <m:t> </m:t>
        </m:r>
        <m:d>
          <m:dPr>
            <m:begChr m:val="("/>
            <m:sepChr m:val=""/>
            <m:endChr m:val=")"/>
            <m:grow/>
          </m:dPr>
          <m:e>
            <m:r>
              <m:rPr>
                <m:sty m:val="p"/>
              </m:rPr>
              <m:t>=</m:t>
            </m:r>
            <m:r>
              <m:t>5</m:t>
            </m:r>
            <m:r>
              <m:rPr>
                <m:sty m:val="p"/>
              </m:rPr>
              <m:t>/</m:t>
            </m:r>
            <m:r>
              <m:t>125</m:t>
            </m:r>
          </m:e>
        </m:d>
      </m:oMath>
      <w:r>
        <w:t xml:space="preserve"> </w:t>
      </w:r>
      <w:r>
        <w:t xml:space="preserve">- equal to the index return.</w:t>
      </w:r>
    </w:p>
    <w:p>
      <w:pPr>
        <w:pStyle w:val="BodyText"/>
      </w:pPr>
      <w:r>
        <w:rPr>
          <w:b/>
          <w:bCs/>
        </w:rPr>
        <w:t xml:space="preserve">2.5</w:t>
      </w:r>
      <w:r>
        <w:t xml:space="preserve"> </w:t>
      </w:r>
      <w:r>
        <w:t xml:space="preserve">The market-value-weighted return equals the change in the stock portfolio’s value. Starting value is</w:t>
      </w:r>
      <w:r>
        <w:t xml:space="preserve"> </w:t>
      </w:r>
      <m:oMath>
        <m:r>
          <m:rPr>
            <m:sty m:val="p"/>
          </m:rPr>
          <m:t>$</m:t>
        </m:r>
        <m:r>
          <m:t>100</m:t>
        </m:r>
        <m:r>
          <m:t>M</m:t>
        </m:r>
        <m:r>
          <m:rPr>
            <m:sty m:val="p"/>
          </m:rPr>
          <m:t>+</m:t>
        </m:r>
        <m:r>
          <m:rPr>
            <m:sty m:val="p"/>
          </m:rPr>
          <m:t>$</m:t>
        </m:r>
        <m:r>
          <m:t>500</m:t>
        </m:r>
        <m:r>
          <m:t>M</m:t>
        </m:r>
        <m:r>
          <m:rPr>
            <m:sty m:val="p"/>
          </m:rPr>
          <m:t>=</m:t>
        </m:r>
        <m:r>
          <m:rPr>
            <m:sty m:val="p"/>
          </m:rPr>
          <m:t>$</m:t>
        </m:r>
        <m:r>
          <m:t>600</m:t>
        </m:r>
        <m:r>
          <m:t>M</m:t>
        </m:r>
      </m:oMath>
      <w:r>
        <w:t xml:space="preserve">; it falls to</w:t>
      </w:r>
      <w:r>
        <w:t xml:space="preserve"> </w:t>
      </w:r>
      <m:oMath>
        <m:r>
          <m:rPr>
            <m:sty m:val="p"/>
          </m:rPr>
          <m:t>$</m:t>
        </m:r>
        <m:r>
          <m:t>110</m:t>
        </m:r>
        <m:r>
          <m:t>M</m:t>
        </m:r>
        <m:r>
          <m:rPr>
            <m:sty m:val="p"/>
          </m:rPr>
          <m:t>+</m:t>
        </m:r>
        <m:r>
          <m:rPr>
            <m:sty m:val="p"/>
          </m:rPr>
          <m:t>$</m:t>
        </m:r>
        <m:r>
          <m:t>400</m:t>
        </m:r>
        <m:r>
          <m:t>M</m:t>
        </m:r>
        <m:r>
          <m:rPr>
            <m:sty m:val="p"/>
          </m:rPr>
          <m:t>=</m:t>
        </m:r>
        <m:r>
          <m:rPr>
            <m:sty m:val="p"/>
          </m:rPr>
          <m:t>$</m:t>
        </m:r>
        <m:r>
          <m:t>510</m:t>
        </m:r>
        <m:r>
          <m:t>M</m:t>
        </m:r>
      </m:oMath>
      <w:r>
        <w:t xml:space="preserve">, a loss of</w:t>
      </w:r>
      <w:r>
        <w:t xml:space="preserve"> </w:t>
      </w:r>
      <m:oMath>
        <m:r>
          <m:t>90</m:t>
        </m:r>
        <m:r>
          <m:rPr>
            <m:sty m:val="p"/>
          </m:rPr>
          <m:t>/</m:t>
        </m:r>
        <m:r>
          <m:t>600</m:t>
        </m:r>
        <m:r>
          <m:rPr>
            <m:sty m:val="p"/>
          </m:rPr>
          <m:t>=</m:t>
        </m:r>
        <m:r>
          <m:t>15</m:t>
        </m:r>
        <m:r>
          <m:rPr>
            <m:sty m:val="p"/>
          </m:rPr>
          <m:t>%</m:t>
        </m:r>
      </m:oMath>
      <w:r>
        <w:t xml:space="preserve">. The index-portfolio return is a value-weighted average of the two stock returns (weights 1/6 on XYZ and 5/6 on ABC):</w:t>
      </w:r>
      <w:r>
        <w:t xml:space="preserve"> </w:t>
      </w:r>
      <m:oMath>
        <m:d>
          <m:dPr>
            <m:begChr m:val="("/>
            <m:sepChr m:val=""/>
            <m:endChr m:val=")"/>
            <m:grow/>
          </m:dPr>
          <m:e>
            <m:r>
              <m:t>1</m:t>
            </m:r>
            <m:r>
              <m:rPr>
                <m:sty m:val="p"/>
              </m:rPr>
              <m:t>/</m:t>
            </m:r>
            <m:r>
              <m:t>6</m:t>
            </m:r>
          </m:e>
        </m:d>
        <m:d>
          <m:dPr>
            <m:begChr m:val="("/>
            <m:sepChr m:val=""/>
            <m:endChr m:val=")"/>
            <m:grow/>
          </m:dPr>
          <m:e>
            <m:r>
              <m:t>10</m:t>
            </m:r>
            <m:r>
              <m:rPr>
                <m:sty m:val="p"/>
              </m:rPr>
              <m:t>%</m:t>
            </m:r>
          </m:e>
        </m:d>
        <m:r>
          <m:rPr>
            <m:sty m:val="p"/>
          </m:rPr>
          <m:t>+</m:t>
        </m:r>
        <m:d>
          <m:dPr>
            <m:begChr m:val="("/>
            <m:sepChr m:val=""/>
            <m:endChr m:val=")"/>
            <m:grow/>
          </m:dPr>
          <m:e>
            <m:r>
              <m:t>5</m:t>
            </m:r>
            <m:r>
              <m:rPr>
                <m:sty m:val="p"/>
              </m:rPr>
              <m:t>/</m:t>
            </m:r>
            <m:r>
              <m:t>6</m:t>
            </m:r>
          </m:e>
        </m:d>
        <m:d>
          <m:dPr>
            <m:begChr m:val="("/>
            <m:sepChr m:val=""/>
            <m:endChr m:val=")"/>
            <m:grow/>
          </m:dPr>
          <m:e>
            <m:r>
              <m:rPr>
                <m:sty m:val="p"/>
              </m:rPr>
              <m:t>−</m:t>
            </m:r>
            <m:r>
              <m:t>20</m:t>
            </m:r>
            <m:r>
              <m:rPr>
                <m:sty m:val="p"/>
              </m:rPr>
              <m:t>%</m:t>
            </m:r>
          </m:e>
        </m:d>
        <m:r>
          <m:rPr>
            <m:sty m:val="p"/>
          </m:rPr>
          <m:t>=</m:t>
        </m:r>
        <m:r>
          <m:rPr>
            <m:sty m:val="p"/>
          </m:rPr>
          <m:t>−</m:t>
        </m:r>
        <m:r>
          <m:t>15</m:t>
        </m:r>
        <m:r>
          <m:rPr>
            <m:sty m:val="p"/>
          </m:rPr>
          <m:t>%</m:t>
        </m:r>
      </m:oMath>
      <w:r>
        <w:t xml:space="preserve">, equal to the value-weighted index return.</w:t>
      </w:r>
    </w:p>
    <w:p>
      <w:pPr>
        <w:pStyle w:val="BodyText"/>
      </w:pPr>
      <w:r>
        <w:rPr>
          <w:b/>
          <w:bCs/>
        </w:rPr>
        <w:t xml:space="preserve">2.6</w:t>
      </w:r>
      <w:r>
        <w:t xml:space="preserve"> </w:t>
      </w:r>
      <w:r>
        <w:t xml:space="preserve">The call payoff is</w:t>
      </w:r>
      <w:r>
        <w:t xml:space="preserve"> </w:t>
      </w:r>
      <m:oMath>
        <m:r>
          <m:rPr>
            <m:sty m:val="p"/>
          </m:rPr>
          <m:t>$</m:t>
        </m:r>
        <m:r>
          <m:t>245</m:t>
        </m:r>
        <m:r>
          <m:rPr>
            <m:sty m:val="p"/>
          </m:rPr>
          <m:t>−</m:t>
        </m:r>
        <m:r>
          <m:rPr>
            <m:sty m:val="p"/>
          </m:rPr>
          <m:t>$</m:t>
        </m:r>
        <m:r>
          <m:t>235</m:t>
        </m:r>
        <m:r>
          <m:rPr>
            <m:sty m:val="p"/>
          </m:rPr>
          <m:t>=</m:t>
        </m:r>
        <m:r>
          <m:rPr>
            <m:sty m:val="p"/>
          </m:rPr>
          <m:t>$</m:t>
        </m:r>
        <m:r>
          <m:t>10</m:t>
        </m:r>
      </m:oMath>
      <w:r>
        <w:t xml:space="preserve">; since the call cost $6.47, the profit is</w:t>
      </w:r>
      <w:r>
        <w:t xml:space="preserve"> </w:t>
      </w:r>
      <m:oMath>
        <m:r>
          <m:rPr>
            <m:sty m:val="p"/>
          </m:rPr>
          <m:t>$</m:t>
        </m:r>
        <m:r>
          <m:t>10</m:t>
        </m:r>
        <m:r>
          <m:rPr>
            <m:sty m:val="p"/>
          </m:rPr>
          <m:t>−</m:t>
        </m:r>
        <m:r>
          <m:rPr>
            <m:sty m:val="p"/>
          </m:rPr>
          <m:t>$</m:t>
        </m:r>
        <m:r>
          <m:t>6.47</m:t>
        </m:r>
        <m:r>
          <m:rPr>
            <m:sty m:val="p"/>
          </m:rPr>
          <m:t>=</m:t>
        </m:r>
        <m:r>
          <m:rPr>
            <m:sty m:val="p"/>
          </m:rPr>
          <m:t>$</m:t>
        </m:r>
        <m:r>
          <m:t>3.53</m:t>
        </m:r>
      </m:oMath>
      <w:r>
        <w:t xml:space="preserve"> </w:t>
      </w:r>
      <w:r>
        <w:t xml:space="preserve">per share. The put expires worthless (the stock exceeds the exercise price), so the loss is its cost, $7.05 per share.</w:t>
      </w:r>
    </w:p>
    <w:p>
      <w:r>
        <w:pict>
          <v:rect style="width:0;height:1.5pt" o:hralign="center" o:hrstd="t" o:hr="t"/>
        </w:pict>
      </w:r>
    </w:p>
    <w:bookmarkEnd w:id="108"/>
    <w:bookmarkStart w:id="109" w:name="summary"/>
    <w:p>
      <w:pPr>
        <w:pStyle w:val="Heading1"/>
      </w:pPr>
      <w:r>
        <w:t xml:space="preserve">Summary</w:t>
      </w:r>
    </w:p>
    <w:p>
      <w:pPr>
        <w:pStyle w:val="Compact"/>
        <w:numPr>
          <w:ilvl w:val="0"/>
          <w:numId w:val="1018"/>
        </w:numPr>
      </w:pPr>
      <w:r>
        <w:rPr>
          <w:b/>
          <w:bCs/>
        </w:rPr>
        <w:t xml:space="preserve">Money market securities</w:t>
      </w:r>
      <w:r>
        <w:t xml:space="preserve"> </w:t>
      </w:r>
      <w:r>
        <w:t xml:space="preserve">are very short-term debt obligations - highly marketable, low credit risk, minimal price risk, often in large denominations (accessible to small investors through money market funds).</w:t>
      </w:r>
    </w:p>
    <w:p>
      <w:pPr>
        <w:pStyle w:val="Compact"/>
        <w:numPr>
          <w:ilvl w:val="0"/>
          <w:numId w:val="1018"/>
        </w:numPr>
      </w:pPr>
      <w:r>
        <w:t xml:space="preserve">Much of U.S.</w:t>
      </w:r>
      <w:r>
        <w:t xml:space="preserve"> </w:t>
      </w:r>
      <w:r>
        <w:rPr>
          <w:b/>
          <w:bCs/>
        </w:rPr>
        <w:t xml:space="preserve">government borrowing</w:t>
      </w:r>
      <w:r>
        <w:t xml:space="preserve"> </w:t>
      </w:r>
      <w:r>
        <w:t xml:space="preserve">takes the form of coupon-paying Treasury bonds and notes, issued at or near par and similar in design to corporate bonds.</w:t>
      </w:r>
    </w:p>
    <w:p>
      <w:pPr>
        <w:pStyle w:val="Compact"/>
        <w:numPr>
          <w:ilvl w:val="0"/>
          <w:numId w:val="1018"/>
        </w:numPr>
      </w:pPr>
      <w:r>
        <w:rPr>
          <w:b/>
          <w:bCs/>
        </w:rPr>
        <w:t xml:space="preserve">Municipal bonds</w:t>
      </w:r>
      <w:r>
        <w:t xml:space="preserve"> </w:t>
      </w:r>
      <w:r>
        <w:t xml:space="preserve">are distinguished by their tax-exempt interest; the equivalent taxable yield is</w:t>
      </w:r>
      <w:r>
        <w:t xml:space="preserve"> </w:t>
      </w:r>
      <m:oMath>
        <m:sSub>
          <m:e>
            <m:r>
              <m:t>r</m:t>
            </m:r>
          </m:e>
          <m:sub>
            <m:r>
              <m:rPr>
                <m:nor/>
                <m:sty m:val="p"/>
              </m:rPr>
              <m:t>muni</m:t>
            </m:r>
          </m:sub>
        </m:sSub>
        <m:r>
          <m:rPr>
            <m:sty m:val="p"/>
          </m:rPr>
          <m:t>/</m:t>
        </m:r>
        <m:d>
          <m:dPr>
            <m:begChr m:val="("/>
            <m:sepChr m:val=""/>
            <m:endChr m:val=")"/>
            <m:grow/>
          </m:dPr>
          <m:e>
            <m:r>
              <m:t>1</m:t>
            </m:r>
            <m:r>
              <m:rPr>
                <m:sty m:val="p"/>
              </m:rPr>
              <m:t>−</m:t>
            </m:r>
            <m:r>
              <m:t>t</m:t>
            </m:r>
          </m:e>
        </m:d>
      </m:oMath>
      <w:r>
        <w:t xml:space="preserve">.</w:t>
      </w:r>
    </w:p>
    <w:p>
      <w:pPr>
        <w:pStyle w:val="Compact"/>
        <w:numPr>
          <w:ilvl w:val="0"/>
          <w:numId w:val="1018"/>
        </w:numPr>
      </w:pPr>
      <w:r>
        <w:rPr>
          <w:b/>
          <w:bCs/>
        </w:rPr>
        <w:t xml:space="preserve">Mortgage pass-through securities</w:t>
      </w:r>
      <w:r>
        <w:t xml:space="preserve"> </w:t>
      </w:r>
      <w:r>
        <w:t xml:space="preserve">pool mortgages and pass principal and interest to owners; government agency pass-throughs are guaranteed, but private-label pools are not.</w:t>
      </w:r>
    </w:p>
    <w:p>
      <w:pPr>
        <w:pStyle w:val="Compact"/>
        <w:numPr>
          <w:ilvl w:val="0"/>
          <w:numId w:val="1018"/>
        </w:numPr>
      </w:pPr>
      <w:r>
        <w:rPr>
          <w:b/>
          <w:bCs/>
        </w:rPr>
        <w:t xml:space="preserve">Common stock</w:t>
      </w:r>
      <w:r>
        <w:t xml:space="preserve"> </w:t>
      </w:r>
      <w:r>
        <w:t xml:space="preserve">is an ownership share with one vote per share and a prorated claim on dividends; stockholders are residual claimants.</w:t>
      </w:r>
    </w:p>
    <w:p>
      <w:pPr>
        <w:pStyle w:val="Compact"/>
        <w:numPr>
          <w:ilvl w:val="0"/>
          <w:numId w:val="1018"/>
        </w:numPr>
      </w:pPr>
      <w:r>
        <w:rPr>
          <w:b/>
          <w:bCs/>
        </w:rPr>
        <w:t xml:space="preserve">Preferred stock</w:t>
      </w:r>
      <w:r>
        <w:t xml:space="preserve"> </w:t>
      </w:r>
      <w:r>
        <w:t xml:space="preserve">pays a fixed (usually cumulative) dividend but does not trigger bankruptcy if unpaid; adjustable-rate preferred indexes its dividend to a short-term rate.</w:t>
      </w:r>
    </w:p>
    <w:p>
      <w:pPr>
        <w:pStyle w:val="Compact"/>
        <w:numPr>
          <w:ilvl w:val="0"/>
          <w:numId w:val="1018"/>
        </w:numPr>
      </w:pPr>
      <w:r>
        <w:t xml:space="preserve">Many</w:t>
      </w:r>
      <w:r>
        <w:t xml:space="preserve"> </w:t>
      </w:r>
      <w:r>
        <w:rPr>
          <w:b/>
          <w:bCs/>
        </w:rPr>
        <w:t xml:space="preserve">stock market indexes</w:t>
      </w:r>
      <w:r>
        <w:t xml:space="preserve"> </w:t>
      </w:r>
      <w:r>
        <w:t xml:space="preserve">measure overall performance. The Dow Jones averages are price-weighted; broad modern indexes (S&amp;P 500, Nasdaq, Wilshire 5000, Nikkei, FTSE, DAX) are market value-weighted.</w:t>
      </w:r>
    </w:p>
    <w:p>
      <w:pPr>
        <w:pStyle w:val="Compact"/>
        <w:numPr>
          <w:ilvl w:val="0"/>
          <w:numId w:val="1018"/>
        </w:numPr>
      </w:pPr>
      <w:r>
        <w:t xml:space="preserve">A</w:t>
      </w:r>
      <w:r>
        <w:t xml:space="preserve"> </w:t>
      </w:r>
      <w:r>
        <w:rPr>
          <w:b/>
          <w:bCs/>
        </w:rPr>
        <w:t xml:space="preserve">call option</w:t>
      </w:r>
      <w:r>
        <w:t xml:space="preserve"> </w:t>
      </w:r>
      <w:r>
        <w:t xml:space="preserve">is the right to buy at a stipulated exercise price; a</w:t>
      </w:r>
      <w:r>
        <w:t xml:space="preserve"> </w:t>
      </w:r>
      <w:r>
        <w:rPr>
          <w:b/>
          <w:bCs/>
        </w:rPr>
        <w:t xml:space="preserve">put option</w:t>
      </w:r>
      <w:r>
        <w:t xml:space="preserve"> </w:t>
      </w:r>
      <w:r>
        <w:t xml:space="preserve">is the right to sell. Calls gain and puts lose value as the underlying rises.</w:t>
      </w:r>
    </w:p>
    <w:p>
      <w:pPr>
        <w:pStyle w:val="Compact"/>
        <w:numPr>
          <w:ilvl w:val="0"/>
          <w:numId w:val="1018"/>
        </w:numPr>
      </w:pPr>
      <w:r>
        <w:t xml:space="preserve">A</w:t>
      </w:r>
      <w:r>
        <w:t xml:space="preserve"> </w:t>
      </w:r>
      <w:r>
        <w:rPr>
          <w:b/>
          <w:bCs/>
        </w:rPr>
        <w:t xml:space="preserve">futures contract</w:t>
      </w:r>
      <w:r>
        <w:t xml:space="preserve"> </w:t>
      </w:r>
      <w:r>
        <w:t xml:space="preserve">is an obligation to buy (long) or sell (short) at a stipulated futures price on a maturity date; the long gains and the short loses when the asset value rises.</w:t>
      </w:r>
    </w:p>
    <w:p>
      <w:r>
        <w:pict>
          <v:rect style="width:0;height:1.5pt" o:hralign="center" o:hrstd="t" o:hr="t"/>
        </w:pict>
      </w:r>
    </w:p>
    <w:bookmarkEnd w:id="109"/>
    <w:bookmarkStart w:id="111" w:name="key-terms"/>
    <w:p>
      <w:pPr>
        <w:pStyle w:val="Heading1"/>
      </w:pPr>
      <w:r>
        <w:t xml:space="preserve">Key Terms</w:t>
      </w:r>
    </w:p>
    <w:p>
      <w:pPr>
        <w:pStyle w:val="FirstParagraph"/>
      </w:pPr>
      <w:r>
        <w:t xml:space="preserve">Below are the chapter’s key terms with the textbook’s margin definitions.</w:t>
      </w:r>
    </w:p>
    <w:p>
      <w:pPr>
        <w:pStyle w:val="Compact"/>
        <w:numPr>
          <w:ilvl w:val="0"/>
          <w:numId w:val="1019"/>
        </w:numPr>
      </w:pPr>
      <w:r>
        <w:rPr>
          <w:b/>
          <w:bCs/>
        </w:rPr>
        <w:t xml:space="preserve">Bankers’ acceptance</w:t>
      </w:r>
      <w:r>
        <w:t xml:space="preserve"> </w:t>
      </w:r>
      <w:r>
        <w:t xml:space="preserve">- An order to a bank by a customer to pay a sum of money at a future date.</w:t>
      </w:r>
    </w:p>
    <w:p>
      <w:pPr>
        <w:pStyle w:val="Compact"/>
        <w:numPr>
          <w:ilvl w:val="0"/>
          <w:numId w:val="1019"/>
        </w:numPr>
      </w:pPr>
      <w:r>
        <w:rPr>
          <w:b/>
          <w:bCs/>
        </w:rPr>
        <w:t xml:space="preserve">Call option</w:t>
      </w:r>
      <w:r>
        <w:t xml:space="preserve"> </w:t>
      </w:r>
      <w:r>
        <w:t xml:space="preserve">- The right to buy an asset at a specified exercise price on or before a specified expiration date.</w:t>
      </w:r>
    </w:p>
    <w:p>
      <w:pPr>
        <w:pStyle w:val="Compact"/>
        <w:numPr>
          <w:ilvl w:val="0"/>
          <w:numId w:val="1019"/>
        </w:numPr>
      </w:pPr>
      <w:r>
        <w:rPr>
          <w:b/>
          <w:bCs/>
        </w:rPr>
        <w:t xml:space="preserve">Certificate of deposit</w:t>
      </w:r>
      <w:r>
        <w:t xml:space="preserve"> </w:t>
      </w:r>
      <w:r>
        <w:t xml:space="preserve">- A bank time deposit.</w:t>
      </w:r>
    </w:p>
    <w:p>
      <w:pPr>
        <w:pStyle w:val="Compact"/>
        <w:numPr>
          <w:ilvl w:val="0"/>
          <w:numId w:val="1019"/>
        </w:numPr>
      </w:pPr>
      <w:r>
        <w:rPr>
          <w:b/>
          <w:bCs/>
        </w:rPr>
        <w:t xml:space="preserve">Commercial paper</w:t>
      </w:r>
      <w:r>
        <w:t xml:space="preserve"> </w:t>
      </w:r>
      <w:r>
        <w:t xml:space="preserve">- Short-term unsecured debt issued by large corporations.</w:t>
      </w:r>
    </w:p>
    <w:p>
      <w:pPr>
        <w:pStyle w:val="Compact"/>
        <w:numPr>
          <w:ilvl w:val="0"/>
          <w:numId w:val="1019"/>
        </w:numPr>
      </w:pPr>
      <w:r>
        <w:rPr>
          <w:b/>
          <w:bCs/>
        </w:rPr>
        <w:t xml:space="preserve">Common stocks</w:t>
      </w:r>
      <w:r>
        <w:t xml:space="preserve"> </w:t>
      </w:r>
      <w:r>
        <w:t xml:space="preserve">- Ownership shares in a publicly held corporation. Shareholders have voting rights and may receive dividends.</w:t>
      </w:r>
    </w:p>
    <w:p>
      <w:pPr>
        <w:pStyle w:val="Compact"/>
        <w:numPr>
          <w:ilvl w:val="0"/>
          <w:numId w:val="1019"/>
        </w:numPr>
      </w:pPr>
      <w:r>
        <w:rPr>
          <w:b/>
          <w:bCs/>
        </w:rPr>
        <w:t xml:space="preserve">Corporate bonds</w:t>
      </w:r>
      <w:r>
        <w:t xml:space="preserve"> </w:t>
      </w:r>
      <w:r>
        <w:t xml:space="preserve">- Long-term debt issued by private corporations typically paying semiannual coupons and returning the face value of the bond at maturity.</w:t>
      </w:r>
    </w:p>
    <w:p>
      <w:pPr>
        <w:pStyle w:val="Compact"/>
        <w:numPr>
          <w:ilvl w:val="0"/>
          <w:numId w:val="1019"/>
        </w:numPr>
      </w:pPr>
      <w:r>
        <w:rPr>
          <w:b/>
          <w:bCs/>
        </w:rPr>
        <w:t xml:space="preserve">Derivative asset</w:t>
      </w:r>
      <w:r>
        <w:t xml:space="preserve"> </w:t>
      </w:r>
      <w:r>
        <w:t xml:space="preserve">- A security with a payoff that depends on the prices of other securities.</w:t>
      </w:r>
    </w:p>
    <w:p>
      <w:pPr>
        <w:pStyle w:val="Compact"/>
        <w:numPr>
          <w:ilvl w:val="0"/>
          <w:numId w:val="1019"/>
        </w:numPr>
      </w:pPr>
      <w:r>
        <w:rPr>
          <w:b/>
          <w:bCs/>
        </w:rPr>
        <w:t xml:space="preserve">Equally weighted index</w:t>
      </w:r>
      <w:r>
        <w:t xml:space="preserve"> </w:t>
      </w:r>
      <w:r>
        <w:t xml:space="preserve">- An index computed from a simple average of returns.</w:t>
      </w:r>
    </w:p>
    <w:p>
      <w:pPr>
        <w:pStyle w:val="Compact"/>
        <w:numPr>
          <w:ilvl w:val="0"/>
          <w:numId w:val="1019"/>
        </w:numPr>
      </w:pPr>
      <w:r>
        <w:rPr>
          <w:b/>
          <w:bCs/>
        </w:rPr>
        <w:t xml:space="preserve">Eurodollars</w:t>
      </w:r>
      <w:r>
        <w:t xml:space="preserve"> </w:t>
      </w:r>
      <w:r>
        <w:t xml:space="preserve">- Dollar-denominated deposits at foreign banks or foreign branches of American banks.</w:t>
      </w:r>
    </w:p>
    <w:p>
      <w:pPr>
        <w:pStyle w:val="Compact"/>
        <w:numPr>
          <w:ilvl w:val="0"/>
          <w:numId w:val="1019"/>
        </w:numPr>
      </w:pPr>
      <w:r>
        <w:rPr>
          <w:b/>
          <w:bCs/>
        </w:rPr>
        <w:t xml:space="preserve">Federal funds</w:t>
      </w:r>
      <w:r>
        <w:t xml:space="preserve"> </w:t>
      </w:r>
      <w:r>
        <w:t xml:space="preserve">- Funds in the accounts of commercial banks at the Federal Reserve Bank.</w:t>
      </w:r>
    </w:p>
    <w:p>
      <w:pPr>
        <w:pStyle w:val="Compact"/>
        <w:numPr>
          <w:ilvl w:val="0"/>
          <w:numId w:val="1019"/>
        </w:numPr>
      </w:pPr>
      <w:r>
        <w:rPr>
          <w:b/>
          <w:bCs/>
        </w:rPr>
        <w:t xml:space="preserve">Futures contract</w:t>
      </w:r>
      <w:r>
        <w:t xml:space="preserve"> </w:t>
      </w:r>
      <w:r>
        <w:t xml:space="preserve">- Obliges traders to purchase or sell an asset at an agreed-upon price at a specified future date.</w:t>
      </w:r>
    </w:p>
    <w:p>
      <w:pPr>
        <w:pStyle w:val="Compact"/>
        <w:numPr>
          <w:ilvl w:val="0"/>
          <w:numId w:val="1019"/>
        </w:numPr>
      </w:pPr>
      <w:r>
        <w:rPr>
          <w:b/>
          <w:bCs/>
        </w:rPr>
        <w:t xml:space="preserve">London Interbank Offer Rate (LIBOR)</w:t>
      </w:r>
      <w:r>
        <w:t xml:space="preserve"> </w:t>
      </w:r>
      <w:r>
        <w:t xml:space="preserve">- Lending rate among banks in the London market.</w:t>
      </w:r>
    </w:p>
    <w:p>
      <w:pPr>
        <w:pStyle w:val="Compact"/>
        <w:numPr>
          <w:ilvl w:val="0"/>
          <w:numId w:val="1019"/>
        </w:numPr>
      </w:pPr>
      <w:r>
        <w:rPr>
          <w:b/>
          <w:bCs/>
        </w:rPr>
        <w:t xml:space="preserve">Market value-weighted index</w:t>
      </w:r>
      <w:r>
        <w:t xml:space="preserve"> </w:t>
      </w:r>
      <w:r>
        <w:t xml:space="preserve">- Index return equals the weighted average of the returns of each component security, with weights proportional to outstanding market value.</w:t>
      </w:r>
    </w:p>
    <w:p>
      <w:pPr>
        <w:pStyle w:val="Compact"/>
        <w:numPr>
          <w:ilvl w:val="0"/>
          <w:numId w:val="1019"/>
        </w:numPr>
      </w:pPr>
      <w:r>
        <w:rPr>
          <w:b/>
          <w:bCs/>
        </w:rPr>
        <w:t xml:space="preserve">Money market</w:t>
      </w:r>
      <w:r>
        <w:t xml:space="preserve"> </w:t>
      </w:r>
      <w:r>
        <w:t xml:space="preserve">- Includes short-term, highly liquid, and relatively low-risk debt instruments.</w:t>
      </w:r>
    </w:p>
    <w:p>
      <w:pPr>
        <w:pStyle w:val="Compact"/>
        <w:numPr>
          <w:ilvl w:val="0"/>
          <w:numId w:val="1019"/>
        </w:numPr>
      </w:pPr>
      <w:r>
        <w:rPr>
          <w:b/>
          <w:bCs/>
        </w:rPr>
        <w:t xml:space="preserve">Municipal bonds</w:t>
      </w:r>
      <w:r>
        <w:t xml:space="preserve"> </w:t>
      </w:r>
      <w:r>
        <w:t xml:space="preserve">- Tax-exempt bonds issued by state and local governments.</w:t>
      </w:r>
    </w:p>
    <w:p>
      <w:pPr>
        <w:pStyle w:val="Compact"/>
        <w:numPr>
          <w:ilvl w:val="0"/>
          <w:numId w:val="1019"/>
        </w:numPr>
      </w:pPr>
      <w:r>
        <w:rPr>
          <w:b/>
          <w:bCs/>
        </w:rPr>
        <w:t xml:space="preserve">Preferred stock</w:t>
      </w:r>
      <w:r>
        <w:t xml:space="preserve"> </w:t>
      </w:r>
      <w:r>
        <w:t xml:space="preserve">- Nonvoting shares in a corporation, usually paying a fixed stream of dividends.</w:t>
      </w:r>
    </w:p>
    <w:p>
      <w:pPr>
        <w:pStyle w:val="Compact"/>
        <w:numPr>
          <w:ilvl w:val="0"/>
          <w:numId w:val="1019"/>
        </w:numPr>
      </w:pPr>
      <w:r>
        <w:rPr>
          <w:b/>
          <w:bCs/>
        </w:rPr>
        <w:t xml:space="preserve">Price-weighted average</w:t>
      </w:r>
      <w:r>
        <w:t xml:space="preserve"> </w:t>
      </w:r>
      <w:r>
        <w:t xml:space="preserve">- An average computed by adding the prices of the stocks and dividing by a</w:t>
      </w:r>
      <w:r>
        <w:t xml:space="preserve"> </w:t>
      </w:r>
      <w:r>
        <w:t xml:space="preserve">“divisor.”</w:t>
      </w:r>
    </w:p>
    <w:p>
      <w:pPr>
        <w:pStyle w:val="Compact"/>
        <w:numPr>
          <w:ilvl w:val="0"/>
          <w:numId w:val="1019"/>
        </w:numPr>
      </w:pPr>
      <w:r>
        <w:rPr>
          <w:b/>
          <w:bCs/>
        </w:rPr>
        <w:t xml:space="preserve">Put option</w:t>
      </w:r>
      <w:r>
        <w:t xml:space="preserve"> </w:t>
      </w:r>
      <w:r>
        <w:t xml:space="preserve">- The right to sell an asset at a specified exercise price on or before a specified expiration date.</w:t>
      </w:r>
    </w:p>
    <w:p>
      <w:pPr>
        <w:pStyle w:val="Compact"/>
        <w:numPr>
          <w:ilvl w:val="0"/>
          <w:numId w:val="1019"/>
        </w:numPr>
      </w:pPr>
      <w:r>
        <w:rPr>
          <w:b/>
          <w:bCs/>
        </w:rPr>
        <w:t xml:space="preserve">Repurchase agreements (repos)</w:t>
      </w:r>
      <w:r>
        <w:t xml:space="preserve"> </w:t>
      </w:r>
      <w:r>
        <w:t xml:space="preserve">- Short-term sales of securities with an agreement to repurchase the securities at a higher price.</w:t>
      </w:r>
    </w:p>
    <w:p>
      <w:pPr>
        <w:pStyle w:val="Compact"/>
        <w:numPr>
          <w:ilvl w:val="0"/>
          <w:numId w:val="1019"/>
        </w:numPr>
      </w:pPr>
      <w:r>
        <w:rPr>
          <w:b/>
          <w:bCs/>
        </w:rPr>
        <w:t xml:space="preserve">Secured Overnight Financing Rate (SOFR)</w:t>
      </w:r>
      <w:r>
        <w:t xml:space="preserve"> </w:t>
      </w:r>
      <w:r>
        <w:t xml:space="preserve">- Rate on collateralized overnight repurchase agreements.</w:t>
      </w:r>
    </w:p>
    <w:p>
      <w:pPr>
        <w:pStyle w:val="Compact"/>
        <w:numPr>
          <w:ilvl w:val="0"/>
          <w:numId w:val="1019"/>
        </w:numPr>
      </w:pPr>
      <w:r>
        <w:rPr>
          <w:b/>
          <w:bCs/>
        </w:rPr>
        <w:t xml:space="preserve">Treasury bills</w:t>
      </w:r>
      <w:r>
        <w:t xml:space="preserve"> </w:t>
      </w:r>
      <w:r>
        <w:t xml:space="preserve">- Short-term government securities issued at a discount from face value and returning the face amount at maturity.</w:t>
      </w:r>
    </w:p>
    <w:p>
      <w:pPr>
        <w:pStyle w:val="Compact"/>
        <w:numPr>
          <w:ilvl w:val="0"/>
          <w:numId w:val="1019"/>
        </w:numPr>
      </w:pPr>
      <w:r>
        <w:rPr>
          <w:b/>
          <w:bCs/>
        </w:rPr>
        <w:t xml:space="preserve">Treasury bonds</w:t>
      </w:r>
      <w:r>
        <w:t xml:space="preserve"> </w:t>
      </w:r>
      <w:r>
        <w:t xml:space="preserve">- Debt obligations of the federal government with original maturities greater than 10 years.</w:t>
      </w:r>
    </w:p>
    <w:p>
      <w:pPr>
        <w:pStyle w:val="Compact"/>
        <w:numPr>
          <w:ilvl w:val="0"/>
          <w:numId w:val="1019"/>
        </w:numPr>
      </w:pPr>
      <w:r>
        <w:rPr>
          <w:b/>
          <w:bCs/>
        </w:rPr>
        <w:t xml:space="preserve">Treasury notes</w:t>
      </w:r>
      <w:r>
        <w:t xml:space="preserve"> </w:t>
      </w:r>
      <w:r>
        <w:t xml:space="preserve">- Debt obligations of the federal government with original maturities from 2 to 10 years.</w:t>
      </w:r>
    </w:p>
    <w:p>
      <w:r>
        <w:pict>
          <v:rect style="width:0;height:1.5pt" o:hralign="center" o:hrstd="t" o:hr="t"/>
        </w:pict>
      </w:r>
    </w:p>
    <w:bookmarkStart w:id="110" w:name="looking-ahead"/>
    <w:p>
      <w:pPr>
        <w:pStyle w:val="Heading2"/>
      </w:pPr>
      <w:r>
        <w:t xml:space="preserve">Looking Ahead</w:t>
      </w:r>
    </w:p>
    <w:p>
      <w:pPr>
        <w:pStyle w:val="FirstParagraph"/>
      </w:pPr>
      <w:r>
        <w:rPr>
          <w:b/>
          <w:bCs/>
        </w:rPr>
        <w:t xml:space="preserve">Chapter 3 - How Securities Are Traded:</w:t>
      </w:r>
      <w:r>
        <w:t xml:space="preserve"> </w:t>
      </w:r>
      <w:r>
        <w:t xml:space="preserve">how firms issue securities, how those securities subsequently trade in secondary markets, the mechanics of buying on margin and short selling, and the regulation of securities markets.</w:t>
      </w:r>
    </w:p>
    <w:p>
      <w:pPr>
        <w:pStyle w:val="BodyText"/>
      </w:pPr>
      <w:r>
        <w:rPr>
          <w:i/>
          <w:iCs/>
        </w:rPr>
        <w:t xml:space="preserve">Source: Bodie, Kane, and Marcus, Essentials of Investments (2024 Release), Chapter 2,</w:t>
      </w:r>
      <w:r>
        <w:rPr>
          <w:i/>
          <w:iCs/>
        </w:rPr>
        <w:t xml:space="preserve"> </w:t>
      </w:r>
      <w:r>
        <w:rPr>
          <w:i/>
          <w:iCs/>
        </w:rPr>
        <w:t xml:space="preserve">“Asset Classes and Financial Instruments.”</w:t>
      </w:r>
      <w:r>
        <w:rPr>
          <w:i/>
          <w:iCs/>
        </w:rPr>
        <w:t xml:space="preserve"> </w:t>
      </w:r>
      <w:r>
        <w:rPr>
          <w:i/>
          <w:iCs/>
        </w:rPr>
        <w:t xml:space="preserve">Figures reproduced from the chapter and the publisher’s slides.</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97" Target="media/rId97.png" /><Relationship Type="http://schemas.openxmlformats.org/officeDocument/2006/relationships/image" Id="rId36" Target="media/rId36.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Asset Classes and Financial Instruments</dc:title>
  <dc:creator>Prof. Barker</dc:creator>
  <cp:keywords/>
  <dcterms:created xsi:type="dcterms:W3CDTF">2026-10-18T21:13:24Z</dcterms:created>
  <dcterms:modified xsi:type="dcterms:W3CDTF">2026-10-18T21:13:24Z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