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56.png" ContentType="image/png"/>
  <Override PartName="/word/media/rId76.png" ContentType="image/png"/>
  <Override PartName="/word/media/rId79.png" ContentType="image/png"/>
  <Override PartName="/word/media/rId82.png" ContentType="image/png"/>
  <Override PartName="/word/media/rId94.png" ContentType="image/png"/>
  <Override PartName="/word/media/rId48.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 Risk, Return, and the Historical Record</w:t>
      </w:r>
    </w:p>
    <w:p>
      <w:pPr>
        <w:pStyle w:val="Author"/>
      </w:pPr>
      <w:r>
        <w:t xml:space="preserve">Prof. Barker</w:t>
      </w:r>
    </w:p>
    <w:p>
      <w:pPr>
        <w:pStyle w:val="Date"/>
      </w:pPr>
      <w:r>
        <w:t xml:space="preserve">2026-09-19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learning-objectives"/>
    <w:p>
      <w:pPr>
        <w:pStyle w:val="Heading2"/>
      </w:pPr>
      <w:r>
        <w:t xml:space="preserve">Learning Objectives</w:t>
      </w:r>
    </w:p>
    <w:p>
      <w:pPr>
        <w:pStyle w:val="FirstParagraph"/>
      </w:pPr>
      <w:r>
        <w:rPr>
          <w:b/>
          <w:bCs/>
        </w:rPr>
        <w:t xml:space="preserve">LO 5-1</w:t>
      </w:r>
      <w:r>
        <w:t xml:space="preserve"> </w:t>
      </w:r>
      <w:r>
        <w:t xml:space="preserve">Compute various measures of return on multiyear investments.</w:t>
      </w:r>
    </w:p>
    <w:p>
      <w:pPr>
        <w:pStyle w:val="BodyText"/>
      </w:pPr>
      <w:r>
        <w:rPr>
          <w:b/>
          <w:bCs/>
        </w:rPr>
        <w:t xml:space="preserve">LO 5-2</w:t>
      </w:r>
      <w:r>
        <w:t xml:space="preserve"> </w:t>
      </w:r>
      <w:r>
        <w:t xml:space="preserve">Use either historical data on the past performance of stocks and bonds or forward-looking scenario analysis to characterize the risk and return features of these investments.</w:t>
      </w:r>
    </w:p>
    <w:p>
      <w:pPr>
        <w:pStyle w:val="BodyText"/>
      </w:pPr>
      <w:r>
        <w:rPr>
          <w:b/>
          <w:bCs/>
        </w:rPr>
        <w:t xml:space="preserve">LO 5-3</w:t>
      </w:r>
      <w:r>
        <w:t xml:space="preserve"> </w:t>
      </w:r>
      <w:r>
        <w:t xml:space="preserve">Determine the expected return and risk of portfolios that are constructed by combining risky assets with risk-free investments in Treasury bills.</w:t>
      </w:r>
    </w:p>
    <w:p>
      <w:pPr>
        <w:pStyle w:val="BodyText"/>
      </w:pPr>
      <w:r>
        <w:rPr>
          <w:b/>
          <w:bCs/>
        </w:rPr>
        <w:t xml:space="preserve">LO 5-4</w:t>
      </w:r>
      <w:r>
        <w:t xml:space="preserve"> </w:t>
      </w:r>
      <w:r>
        <w:t xml:space="preserve">Use the Sharpe ratio to evaluate the performance of a portfolio and provide a guide for capital allocation.</w:t>
      </w:r>
    </w:p>
    <w:p>
      <w:r>
        <w:pict>
          <v:rect style="width:0;height:1.5pt" o:hralign="center" o:hrstd="t" o:hr="t"/>
        </w:pict>
      </w:r>
    </w:p>
    <w:bookmarkEnd w:id="20"/>
    <w:bookmarkStart w:id="34" w:name="rates-of-return"/>
    <w:p>
      <w:pPr>
        <w:pStyle w:val="Heading2"/>
      </w:pPr>
      <w:r>
        <w:t xml:space="preserve">5.1 Rates of Return</w:t>
      </w:r>
    </w:p>
    <w:p>
      <w:pPr>
        <w:pStyle w:val="FirstParagraph"/>
      </w:pPr>
      <w:r>
        <w:t xml:space="preserve">The</w:t>
      </w:r>
      <w:r>
        <w:t xml:space="preserve"> </w:t>
      </w:r>
      <w:r>
        <w:rPr>
          <w:b/>
          <w:bCs/>
        </w:rPr>
        <w:t xml:space="preserve">holding-period return (HPR)</w:t>
      </w:r>
      <w:r>
        <w:t xml:space="preserve"> </w:t>
      </w:r>
      <w:r>
        <w:t xml:space="preserve">on a share of stock reflects both the increase (or decrease) in the price of the share over the investment period as well as any dividend income the share has provided. It is defined as dollars earned (price appreciation plus dividends) per dollar invested:</w:t>
      </w:r>
    </w:p>
    <w:p>
      <w:pPr>
        <w:pStyle w:val="BodyText"/>
      </w:pPr>
      <w:bookmarkStart w:id="21" w:name="eq-hpr"/>
      <m:oMathPara>
        <m:oMathParaPr>
          <m:jc m:val="center"/>
        </m:oMathParaPr>
        <m:oMath>
          <m:r>
            <m:t>H</m:t>
          </m:r>
          <m:r>
            <m:t>P</m:t>
          </m:r>
          <m:r>
            <m:t>R</m:t>
          </m:r>
          <m:r>
            <m:rPr>
              <m:sty m:val="p"/>
            </m:rPr>
            <m:t>=</m:t>
          </m:r>
          <m:f>
            <m:fPr>
              <m:type m:val="bar"/>
            </m:fPr>
            <m:num>
              <m:r>
                <m:rPr>
                  <m:nor/>
                  <m:sty m:val="p"/>
                </m:rPr>
                <m:t>Ending price</m:t>
              </m:r>
              <m:r>
                <m:rPr>
                  <m:sty m:val="p"/>
                </m:rPr>
                <m:t>−</m:t>
              </m:r>
              <m:r>
                <m:rPr>
                  <m:nor/>
                  <m:sty m:val="p"/>
                </m:rPr>
                <m:t>Beginning price</m:t>
              </m:r>
              <m:r>
                <m:rPr>
                  <m:sty m:val="p"/>
                </m:rPr>
                <m:t>+</m:t>
              </m:r>
              <m:r>
                <m:rPr>
                  <m:nor/>
                  <m:sty m:val="p"/>
                </m:rPr>
                <m:t>Cash dividend</m:t>
              </m:r>
            </m:num>
            <m:den>
              <m:r>
                <m:rPr>
                  <m:nor/>
                  <m:sty m:val="p"/>
                </m:rPr>
                <m:t>Beginning price</m:t>
              </m:r>
            </m:den>
          </m:f>
          <m:r>
            <m:t>  </m:t>
          </m:r>
          <m:d>
            <m:dPr>
              <m:begChr m:val="("/>
              <m:sepChr m:val=""/>
              <m:endChr m:val=")"/>
              <m:grow/>
            </m:dPr>
            <m:e>
              <m:r>
                <m:t>1</m:t>
              </m:r>
            </m:e>
          </m:d>
        </m:oMath>
      </m:oMathPara>
      <w:bookmarkEnd w:id="21"/>
    </w:p>
    <w:p>
      <w:pPr>
        <w:pStyle w:val="FirstParagraph"/>
      </w:pPr>
      <w:r>
        <w:t xml:space="preserve">The percentage return from dividends, cash dividends divided by beginning price, is called the</w:t>
      </w:r>
      <w:r>
        <w:t xml:space="preserve"> </w:t>
      </w:r>
      <w:r>
        <w:rPr>
          <w:b/>
          <w:bCs/>
        </w:rPr>
        <w:t xml:space="preserve">dividend yield</w:t>
      </w:r>
      <w:r>
        <w:t xml:space="preserve">, and the percentage price increase is called the</w:t>
      </w:r>
      <w:r>
        <w:t xml:space="preserve"> </w:t>
      </w:r>
      <w:r>
        <w:rPr>
          <w:b/>
          <w:bCs/>
        </w:rPr>
        <w:t xml:space="preserve">capital gains yield</w:t>
      </w:r>
      <w:r>
        <w:t xml:space="preserve">. Therefore, the dividend yield plus the capital gains yield equals the HPR.</w:t>
      </w:r>
    </w:p>
    <w:p>
      <w:pPr>
        <w:pStyle w:val="BodyText"/>
      </w:pPr>
      <w:r>
        <w:rPr>
          <w:b/>
          <w:bCs/>
        </w:rPr>
        <w:t xml:space="preserve">Example 5.1 — Holding-Period Return:</w:t>
      </w:r>
      <w:r>
        <w:t xml:space="preserve"> </w:t>
      </w:r>
      <w:r>
        <w:t xml:space="preserve">The price of a share of a stock is currently $100, and your time horizon is one year. You expect the cash dividend during the year to be $4, so your expected dividend yield is 4%. Suppose your best guess is that the price one year from now will be $110 per share. If you are right, the HPR will be:</w:t>
      </w:r>
    </w:p>
    <w:p>
      <w:pPr>
        <w:pStyle w:val="BodyText"/>
      </w:pPr>
      <m:oMathPara>
        <m:oMathParaPr>
          <m:jc m:val="center"/>
        </m:oMathParaPr>
        <m:oMath>
          <m:r>
            <m:t>H</m:t>
          </m:r>
          <m:r>
            <m:t>P</m:t>
          </m:r>
          <m:r>
            <m:t>R</m:t>
          </m:r>
          <m:r>
            <m:rPr>
              <m:sty m:val="p"/>
            </m:rPr>
            <m:t>=</m:t>
          </m:r>
          <m:f>
            <m:fPr>
              <m:type m:val="bar"/>
            </m:fPr>
            <m:num>
              <m:r>
                <m:rPr>
                  <m:sty m:val="p"/>
                </m:rPr>
                <m:t>$</m:t>
              </m:r>
              <m:r>
                <m:t>110</m:t>
              </m:r>
              <m:r>
                <m:rPr>
                  <m:sty m:val="p"/>
                </m:rPr>
                <m:t>−</m:t>
              </m:r>
              <m:r>
                <m:rPr>
                  <m:sty m:val="p"/>
                </m:rPr>
                <m:t>$</m:t>
              </m:r>
              <m:r>
                <m:t>100</m:t>
              </m:r>
              <m:r>
                <m:rPr>
                  <m:sty m:val="p"/>
                </m:rPr>
                <m:t>+</m:t>
              </m:r>
              <m:r>
                <m:rPr>
                  <m:sty m:val="p"/>
                </m:rPr>
                <m:t>$</m:t>
              </m:r>
              <m:r>
                <m:t>4</m:t>
              </m:r>
            </m:num>
            <m:den>
              <m:r>
                <m:rPr>
                  <m:sty m:val="p"/>
                </m:rPr>
                <m:t>$</m:t>
              </m:r>
              <m:r>
                <m:t>100</m:t>
              </m:r>
            </m:den>
          </m:f>
          <m:r>
            <m:rPr>
              <m:sty m:val="p"/>
            </m:rPr>
            <m:t>=</m:t>
          </m:r>
          <m:r>
            <m:t>0.14</m:t>
          </m:r>
          <m:r>
            <m:rPr>
              <m:sty m:val="p"/>
            </m:rPr>
            <m:t>,</m:t>
          </m:r>
          <m:r>
            <m:rPr>
              <m:nor/>
              <m:sty m:val="p"/>
            </m:rPr>
            <m:t> or </m:t>
          </m:r>
          <m:r>
            <m:t>14</m:t>
          </m:r>
          <m:r>
            <m:rPr>
              <m:sty m:val="p"/>
            </m:rPr>
            <m:t>%</m:t>
          </m:r>
        </m:oMath>
      </m:oMathPara>
    </w:p>
    <w:p>
      <w:pPr>
        <w:pStyle w:val="FirstParagraph"/>
      </w:pPr>
      <w:r>
        <w:t xml:space="preserve">Your predicted capital gain is $10, which implies a capital gains yield of $10/$100 = 0.10, or 10%. The HPR is the sum of the dividend yield plus the capital gains yield: 4% + 10% = 14%.</w:t>
      </w:r>
    </w:p>
    <w:bookmarkStart w:id="30" w:name="X59c0d92987bde960eaaee0e38a63f99075b82d3"/>
    <w:p>
      <w:pPr>
        <w:pStyle w:val="Heading3"/>
      </w:pPr>
      <w:r>
        <w:t xml:space="preserve">5.1.1 Measuring Investment Returns over Multiple Periods</w:t>
      </w:r>
    </w:p>
    <w:p>
      <w:pPr>
        <w:pStyle w:val="FirstParagraph"/>
      </w:pPr>
      <w:r>
        <w:t xml:space="preserve">The HPR is a simple and unambiguous measure of investment return over a single period. But often you will be interested in average returns over longer periods of time. There are several alternative measures of performance, each with its own advantages and shortcomings: the</w:t>
      </w:r>
      <w:r>
        <w:t xml:space="preserve"> </w:t>
      </w:r>
      <w:r>
        <w:rPr>
          <w:b/>
          <w:bCs/>
        </w:rPr>
        <w:t xml:space="preserve">arithmetic average</w:t>
      </w:r>
      <w:r>
        <w:t xml:space="preserve">, the</w:t>
      </w:r>
      <w:r>
        <w:t xml:space="preserve"> </w:t>
      </w:r>
      <w:r>
        <w:rPr>
          <w:b/>
          <w:bCs/>
        </w:rPr>
        <w:t xml:space="preserve">geometric average</w:t>
      </w:r>
      <w:r>
        <w:t xml:space="preserve">, and the</w:t>
      </w:r>
      <w:r>
        <w:t xml:space="preserve"> </w:t>
      </w:r>
      <w:r>
        <w:rPr>
          <w:b/>
          <w:bCs/>
        </w:rPr>
        <w:t xml:space="preserve">dollar-weighted return</w:t>
      </w:r>
      <w:r>
        <w:t xml:space="preserve">.</w:t>
      </w:r>
    </w:p>
    <w:p>
      <w:pPr>
        <w:pStyle w:val="TableCaption"/>
      </w:pPr>
      <w:r>
        <w:t xml:space="preserve">Table 5.1 — Annual cash flows and rates of return of a mutual fund</w:t>
      </w:r>
    </w:p>
    <w:tbl>
      <w:tblPr>
        <w:tblStyle w:val="Table"/>
        <w:tblW w:type="pct" w:w="5000"/>
        <w:tblLayout w:type="fixed"/>
        <w:tblLook w:firstRow="1" w:lastRow="0" w:firstColumn="0" w:lastColumn="0" w:noHBand="0" w:noVBand="0" w:val="0020"/>
        <w:tblCaption w:val="Table 5.1 — Annual cash flows and rates of return of a mutual fund"/>
      </w:tblPr>
      <w:tblGrid>
        <w:gridCol w:w="1320"/>
        <w:gridCol w:w="1650"/>
        <w:gridCol w:w="1650"/>
        <w:gridCol w:w="1650"/>
        <w:gridCol w:w="1650"/>
      </w:tblGrid>
      <w:tr>
        <w:trPr>
          <w:tblHeader w:val="on"/>
        </w:trPr>
        <w:tc>
          <w:tcPr/>
          <w:p>
            <w:pPr>
              <w:pStyle w:val="Compact"/>
            </w:pPr>
          </w:p>
        </w:tc>
        <w:tc>
          <w:tcPr/>
          <w:p>
            <w:pPr>
              <w:pStyle w:val="Compact"/>
              <w:jc w:val="center"/>
            </w:pPr>
            <w:r>
              <w:t xml:space="preserve">1st Year</w:t>
            </w:r>
          </w:p>
        </w:tc>
        <w:tc>
          <w:tcPr/>
          <w:p>
            <w:pPr>
              <w:pStyle w:val="Compact"/>
              <w:jc w:val="center"/>
            </w:pPr>
            <w:r>
              <w:t xml:space="preserve">2nd Year</w:t>
            </w:r>
          </w:p>
        </w:tc>
        <w:tc>
          <w:tcPr/>
          <w:p>
            <w:pPr>
              <w:pStyle w:val="Compact"/>
              <w:jc w:val="center"/>
            </w:pPr>
            <w:r>
              <w:t xml:space="preserve">3rd Year</w:t>
            </w:r>
          </w:p>
        </w:tc>
        <w:tc>
          <w:tcPr/>
          <w:p>
            <w:pPr>
              <w:pStyle w:val="Compact"/>
              <w:jc w:val="center"/>
            </w:pPr>
            <w:r>
              <w:t xml:space="preserve">4th Year</w:t>
            </w:r>
          </w:p>
        </w:tc>
      </w:tr>
      <w:tr>
        <w:tc>
          <w:tcPr/>
          <w:p>
            <w:pPr>
              <w:pStyle w:val="Compact"/>
              <w:jc w:val="left"/>
            </w:pPr>
            <w:r>
              <w:t xml:space="preserve">Assets under management at start of year ($ million)</w:t>
            </w:r>
          </w:p>
        </w:tc>
        <w:tc>
          <w:tcPr/>
          <w:p>
            <w:pPr>
              <w:pStyle w:val="Compact"/>
              <w:jc w:val="center"/>
            </w:pPr>
            <w:r>
              <w:t xml:space="preserve">1.0</w:t>
            </w:r>
          </w:p>
        </w:tc>
        <w:tc>
          <w:tcPr/>
          <w:p>
            <w:pPr>
              <w:pStyle w:val="Compact"/>
              <w:jc w:val="center"/>
            </w:pPr>
            <w:r>
              <w:t xml:space="preserve">1.2</w:t>
            </w:r>
          </w:p>
        </w:tc>
        <w:tc>
          <w:tcPr/>
          <w:p>
            <w:pPr>
              <w:pStyle w:val="Compact"/>
              <w:jc w:val="center"/>
            </w:pPr>
            <w:r>
              <w:t xml:space="preserve">2.0</w:t>
            </w:r>
          </w:p>
        </w:tc>
        <w:tc>
          <w:tcPr/>
          <w:p>
            <w:pPr>
              <w:pStyle w:val="Compact"/>
              <w:jc w:val="center"/>
            </w:pPr>
            <w:r>
              <w:t xml:space="preserve">0.8</w:t>
            </w:r>
          </w:p>
        </w:tc>
      </w:tr>
      <w:tr>
        <w:tc>
          <w:tcPr/>
          <w:p>
            <w:pPr>
              <w:pStyle w:val="Compact"/>
              <w:jc w:val="left"/>
            </w:pPr>
            <w:r>
              <w:t xml:space="preserve">Holding-period return (%)</w:t>
            </w:r>
          </w:p>
        </w:tc>
        <w:tc>
          <w:tcPr/>
          <w:p>
            <w:pPr>
              <w:pStyle w:val="Compact"/>
              <w:jc w:val="center"/>
            </w:pPr>
            <w:r>
              <w:t xml:space="preserve">10.0</w:t>
            </w:r>
          </w:p>
        </w:tc>
        <w:tc>
          <w:tcPr/>
          <w:p>
            <w:pPr>
              <w:pStyle w:val="Compact"/>
              <w:jc w:val="center"/>
            </w:pPr>
            <w:r>
              <w:t xml:space="preserve">25.0</w:t>
            </w:r>
          </w:p>
        </w:tc>
        <w:tc>
          <w:tcPr/>
          <w:p>
            <w:pPr>
              <w:pStyle w:val="Compact"/>
              <w:jc w:val="center"/>
            </w:pPr>
            <w:r>
              <w:t xml:space="preserve">(20.0)</w:t>
            </w:r>
          </w:p>
        </w:tc>
        <w:tc>
          <w:tcPr/>
          <w:p>
            <w:pPr>
              <w:pStyle w:val="Compact"/>
              <w:jc w:val="center"/>
            </w:pPr>
            <w:r>
              <w:t xml:space="preserve">20.0</w:t>
            </w:r>
          </w:p>
        </w:tc>
      </w:tr>
      <w:tr>
        <w:tc>
          <w:tcPr/>
          <w:p>
            <w:pPr>
              <w:pStyle w:val="Compact"/>
              <w:jc w:val="left"/>
            </w:pPr>
            <w:r>
              <w:t xml:space="preserve">Total assets before net inflows</w:t>
            </w:r>
          </w:p>
        </w:tc>
        <w:tc>
          <w:tcPr/>
          <w:p>
            <w:pPr>
              <w:pStyle w:val="Compact"/>
              <w:jc w:val="center"/>
            </w:pPr>
            <w:r>
              <w:t xml:space="preserve">1.1</w:t>
            </w:r>
          </w:p>
        </w:tc>
        <w:tc>
          <w:tcPr/>
          <w:p>
            <w:pPr>
              <w:pStyle w:val="Compact"/>
              <w:jc w:val="center"/>
            </w:pPr>
            <w:r>
              <w:t xml:space="preserve">1.5</w:t>
            </w:r>
          </w:p>
        </w:tc>
        <w:tc>
          <w:tcPr/>
          <w:p>
            <w:pPr>
              <w:pStyle w:val="Compact"/>
              <w:jc w:val="center"/>
            </w:pPr>
            <w:r>
              <w:t xml:space="preserve">1.6</w:t>
            </w:r>
          </w:p>
        </w:tc>
        <w:tc>
          <w:tcPr/>
          <w:p>
            <w:pPr>
              <w:pStyle w:val="Compact"/>
              <w:jc w:val="center"/>
            </w:pPr>
            <w:r>
              <w:t xml:space="preserve">0.96</w:t>
            </w:r>
          </w:p>
        </w:tc>
      </w:tr>
      <w:tr>
        <w:tc>
          <w:tcPr/>
          <w:p>
            <w:pPr>
              <w:pStyle w:val="Compact"/>
              <w:jc w:val="left"/>
            </w:pPr>
            <w:r>
              <w:t xml:space="preserve">Net inflow ($ million)*</w:t>
            </w:r>
          </w:p>
        </w:tc>
        <w:tc>
          <w:tcPr/>
          <w:p>
            <w:pPr>
              <w:pStyle w:val="Compact"/>
              <w:jc w:val="center"/>
            </w:pPr>
            <w:r>
              <w:t xml:space="preserve">0.1</w:t>
            </w:r>
          </w:p>
        </w:tc>
        <w:tc>
          <w:tcPr/>
          <w:p>
            <w:pPr>
              <w:pStyle w:val="Compact"/>
              <w:jc w:val="center"/>
            </w:pPr>
            <w:r>
              <w:t xml:space="preserve">0.5</w:t>
            </w:r>
          </w:p>
        </w:tc>
        <w:tc>
          <w:tcPr/>
          <w:p>
            <w:pPr>
              <w:pStyle w:val="Compact"/>
              <w:jc w:val="center"/>
            </w:pPr>
            <w:r>
              <w:t xml:space="preserve">(0.8)</w:t>
            </w:r>
          </w:p>
        </w:tc>
        <w:tc>
          <w:tcPr/>
          <w:p>
            <w:pPr>
              <w:pStyle w:val="Compact"/>
              <w:jc w:val="center"/>
            </w:pPr>
            <w:r>
              <w:t xml:space="preserve">0.6</w:t>
            </w:r>
          </w:p>
        </w:tc>
      </w:tr>
      <w:tr>
        <w:tc>
          <w:tcPr/>
          <w:p>
            <w:pPr>
              <w:pStyle w:val="Compact"/>
              <w:jc w:val="left"/>
            </w:pPr>
            <w:r>
              <w:t xml:space="preserve">Assets under management at end of year ($ million)</w:t>
            </w:r>
          </w:p>
        </w:tc>
        <w:tc>
          <w:tcPr/>
          <w:p>
            <w:pPr>
              <w:pStyle w:val="Compact"/>
              <w:jc w:val="center"/>
            </w:pPr>
            <w:r>
              <w:t xml:space="preserve">1.2</w:t>
            </w:r>
          </w:p>
        </w:tc>
        <w:tc>
          <w:tcPr/>
          <w:p>
            <w:pPr>
              <w:pStyle w:val="Compact"/>
              <w:jc w:val="center"/>
            </w:pPr>
            <w:r>
              <w:t xml:space="preserve">2.0</w:t>
            </w:r>
          </w:p>
        </w:tc>
        <w:tc>
          <w:tcPr/>
          <w:p>
            <w:pPr>
              <w:pStyle w:val="Compact"/>
              <w:jc w:val="center"/>
            </w:pPr>
            <w:r>
              <w:t xml:space="preserve">0.8</w:t>
            </w:r>
          </w:p>
        </w:tc>
        <w:tc>
          <w:tcPr/>
          <w:p>
            <w:pPr>
              <w:pStyle w:val="Compact"/>
              <w:jc w:val="center"/>
            </w:pPr>
            <w:r>
              <w:t xml:space="preserve">1.56</w:t>
            </w:r>
          </w:p>
        </w:tc>
      </w:tr>
    </w:tbl>
    <w:p>
      <w:pPr>
        <w:pStyle w:val="BodyText"/>
      </w:pPr>
      <w:r>
        <w:t xml:space="preserve">*New investment less redemptions and distributions, all assumed to occur at the end of each year.</w:t>
      </w:r>
    </w:p>
    <w:bookmarkStart w:id="22" w:name="arithmetic-average"/>
    <w:p>
      <w:pPr>
        <w:pStyle w:val="Heading4"/>
      </w:pPr>
      <w:r>
        <w:t xml:space="preserve">5.1.1.1 Arithmetic Average</w:t>
      </w:r>
    </w:p>
    <w:p>
      <w:pPr>
        <w:pStyle w:val="FirstParagraph"/>
      </w:pPr>
      <w:r>
        <w:t xml:space="preserve">The</w:t>
      </w:r>
      <w:r>
        <w:t xml:space="preserve"> </w:t>
      </w:r>
      <w:r>
        <w:rPr>
          <w:b/>
          <w:bCs/>
        </w:rPr>
        <w:t xml:space="preserve">arithmetic average</w:t>
      </w:r>
      <w:r>
        <w:t xml:space="preserve"> </w:t>
      </w:r>
      <w:r>
        <w:t xml:space="preserve">of the annual returns is just the sum of the returns divided by the number of years:</w:t>
      </w:r>
    </w:p>
    <w:p>
      <w:pPr>
        <w:pStyle w:val="BodyText"/>
      </w:pPr>
      <m:oMathPara>
        <m:oMathParaPr>
          <m:jc m:val="center"/>
        </m:oMathParaPr>
        <m:oMath>
          <m:r>
            <m:rPr>
              <m:nor/>
              <m:sty m:val="p"/>
            </m:rPr>
            <m:t>Arithmetic average</m:t>
          </m:r>
          <m:r>
            <m:rPr>
              <m:sty m:val="p"/>
            </m:rPr>
            <m:t>=</m:t>
          </m:r>
          <m:f>
            <m:fPr>
              <m:type m:val="bar"/>
            </m:fPr>
            <m:num>
              <m:r>
                <m:t>10</m:t>
              </m:r>
              <m:r>
                <m:rPr>
                  <m:sty m:val="p"/>
                </m:rPr>
                <m:t>+</m:t>
              </m:r>
              <m:r>
                <m:t>25</m:t>
              </m:r>
              <m:r>
                <m:rPr>
                  <m:sty m:val="p"/>
                </m:rPr>
                <m:t>−</m:t>
              </m:r>
              <m:r>
                <m:t>20</m:t>
              </m:r>
              <m:r>
                <m:rPr>
                  <m:sty m:val="p"/>
                </m:rPr>
                <m:t>+</m:t>
              </m:r>
              <m:r>
                <m:t>20</m:t>
              </m:r>
            </m:num>
            <m:den>
              <m:r>
                <m:t>4</m:t>
              </m:r>
            </m:den>
          </m:f>
          <m:r>
            <m:rPr>
              <m:sty m:val="p"/>
            </m:rPr>
            <m:t>=</m:t>
          </m:r>
          <m:r>
            <m:t>8.75</m:t>
          </m:r>
          <m:r>
            <m:rPr>
              <m:sty m:val="p"/>
            </m:rPr>
            <m:t>%</m:t>
          </m:r>
        </m:oMath>
      </m:oMathPara>
    </w:p>
    <w:p>
      <w:pPr>
        <w:pStyle w:val="FirstParagraph"/>
      </w:pPr>
      <w:r>
        <w:t xml:space="preserve">The arithmetic average of past returns is a common forecast of performance for future periods.</w:t>
      </w:r>
    </w:p>
    <w:bookmarkEnd w:id="22"/>
    <w:bookmarkStart w:id="24" w:name="geometric-average"/>
    <w:p>
      <w:pPr>
        <w:pStyle w:val="Heading4"/>
      </w:pPr>
      <w:r>
        <w:t xml:space="preserve">5.1.1.2 Geometric Average</w:t>
      </w:r>
    </w:p>
    <w:p>
      <w:pPr>
        <w:pStyle w:val="FirstParagraph"/>
      </w:pPr>
      <w:r>
        <w:t xml:space="preserve">The</w:t>
      </w:r>
      <w:r>
        <w:t xml:space="preserve"> </w:t>
      </w:r>
      <w:r>
        <w:rPr>
          <w:b/>
          <w:bCs/>
        </w:rPr>
        <w:t xml:space="preserve">geometric average</w:t>
      </w:r>
      <w:r>
        <w:t xml:space="preserve"> </w:t>
      </w:r>
      <w:r>
        <w:t xml:space="preserve">equals the single per-period return that would give the same cumulative performance as the sequence of actual returns. We calculate the geometric average by compounding the actual period-by-period returns and then finding the single per-period rate that will compound to the same final value:</w:t>
      </w:r>
    </w:p>
    <w:p>
      <w:pPr>
        <w:pStyle w:val="BodyText"/>
      </w:pPr>
      <m:oMathPara>
        <m:oMathParaPr>
          <m:jc m:val="center"/>
        </m:oMathParaPr>
        <m:oMath>
          <m:d>
            <m:dPr>
              <m:begChr m:val="("/>
              <m:sepChr m:val=""/>
              <m:endChr m:val=")"/>
              <m:grow/>
            </m:dPr>
            <m:e>
              <m:r>
                <m:t>1</m:t>
              </m:r>
              <m:r>
                <m:rPr>
                  <m:sty m:val="p"/>
                </m:rPr>
                <m:t>+</m:t>
              </m:r>
              <m:r>
                <m:t>0.10</m:t>
              </m:r>
            </m:e>
          </m:d>
          <m:r>
            <m:rPr>
              <m:sty m:val="p"/>
            </m:rPr>
            <m:t>×</m:t>
          </m:r>
          <m:d>
            <m:dPr>
              <m:begChr m:val="("/>
              <m:sepChr m:val=""/>
              <m:endChr m:val=")"/>
              <m:grow/>
            </m:dPr>
            <m:e>
              <m:r>
                <m:t>1</m:t>
              </m:r>
              <m:r>
                <m:rPr>
                  <m:sty m:val="p"/>
                </m:rPr>
                <m:t>+</m:t>
              </m:r>
              <m:r>
                <m:t>0.25</m:t>
              </m:r>
            </m:e>
          </m:d>
          <m:r>
            <m:rPr>
              <m:sty m:val="p"/>
            </m:rPr>
            <m:t>×</m:t>
          </m:r>
          <m:d>
            <m:dPr>
              <m:begChr m:val="("/>
              <m:sepChr m:val=""/>
              <m:endChr m:val=")"/>
              <m:grow/>
            </m:dPr>
            <m:e>
              <m:r>
                <m:t>1</m:t>
              </m:r>
              <m:r>
                <m:rPr>
                  <m:sty m:val="p"/>
                </m:rPr>
                <m:t>−</m:t>
              </m:r>
              <m:r>
                <m:t>0.20</m:t>
              </m:r>
            </m:e>
          </m:d>
          <m:r>
            <m:rPr>
              <m:sty m:val="p"/>
            </m:rPr>
            <m:t>×</m:t>
          </m:r>
          <m:d>
            <m:dPr>
              <m:begChr m:val="("/>
              <m:sepChr m:val=""/>
              <m:endChr m:val=")"/>
              <m:grow/>
            </m:dPr>
            <m:e>
              <m:r>
                <m:t>1</m:t>
              </m:r>
              <m:r>
                <m:rPr>
                  <m:sty m:val="p"/>
                </m:rPr>
                <m:t>+</m:t>
              </m:r>
              <m:r>
                <m:t>0.20</m:t>
              </m:r>
            </m:e>
          </m:d>
          <m:r>
            <m:rPr>
              <m:sty m:val="p"/>
            </m:rPr>
            <m:t>=</m:t>
          </m:r>
          <m:sSup>
            <m:e>
              <m:d>
                <m:dPr>
                  <m:begChr m:val="("/>
                  <m:sepChr m:val=""/>
                  <m:endChr m:val=")"/>
                  <m:grow/>
                </m:dPr>
                <m:e>
                  <m:r>
                    <m:t>1</m:t>
                  </m:r>
                  <m:r>
                    <m:rPr>
                      <m:sty m:val="p"/>
                    </m:rPr>
                    <m:t>+</m:t>
                  </m:r>
                  <m:sSub>
                    <m:e>
                      <m:r>
                        <m:t>r</m:t>
                      </m:r>
                    </m:e>
                    <m:sub>
                      <m:r>
                        <m:t>G</m:t>
                      </m:r>
                    </m:sub>
                  </m:sSub>
                </m:e>
              </m:d>
            </m:e>
            <m:sup>
              <m:r>
                <m:t>4</m:t>
              </m:r>
            </m:sup>
          </m:sSup>
        </m:oMath>
      </m:oMathPara>
    </w:p>
    <w:p>
      <w:pPr>
        <w:pStyle w:val="FirstParagraph"/>
      </w:pPr>
      <w:r>
        <w:t xml:space="preserve">Solving for</w:t>
      </w:r>
      <w:r>
        <w:t xml:space="preserve"> </w:t>
      </w:r>
      <m:oMath>
        <m:sSub>
          <m:e>
            <m:r>
              <m:t>r</m:t>
            </m:r>
          </m:e>
          <m:sub>
            <m:r>
              <m:t>G</m:t>
            </m:r>
          </m:sub>
        </m:sSub>
      </m:oMath>
      <w:r>
        <w:t xml:space="preserve">:</w:t>
      </w:r>
    </w:p>
    <w:p>
      <w:pPr>
        <w:pStyle w:val="BodyText"/>
      </w:pPr>
      <w:bookmarkStart w:id="23" w:name="eq-geometric"/>
      <m:oMathPara>
        <m:oMathParaPr>
          <m:jc m:val="center"/>
        </m:oMathParaPr>
        <m:oMath>
          <m:sSub>
            <m:e>
              <m:r>
                <m:t>r</m:t>
              </m:r>
            </m:e>
            <m:sub>
              <m:r>
                <m:t>G</m:t>
              </m:r>
            </m:sub>
          </m:sSub>
          <m:r>
            <m:rPr>
              <m:sty m:val="p"/>
            </m:rPr>
            <m:t>=</m:t>
          </m:r>
          <m:sSup>
            <m:e>
              <m:d>
                <m:dPr>
                  <m:begChr m:val="["/>
                  <m:sepChr m:val=""/>
                  <m:endChr m:val="]"/>
                  <m:grow/>
                </m:dPr>
                <m:e>
                  <m:d>
                    <m:dPr>
                      <m:begChr m:val="("/>
                      <m:sepChr m:val=""/>
                      <m:endChr m:val=")"/>
                      <m:grow/>
                    </m:dPr>
                    <m:e>
                      <m:r>
                        <m:t>1</m:t>
                      </m:r>
                      <m:r>
                        <m:rPr>
                          <m:sty m:val="p"/>
                        </m:rPr>
                        <m:t>+</m:t>
                      </m:r>
                      <m:r>
                        <m:t>0.10</m:t>
                      </m:r>
                    </m:e>
                  </m:d>
                  <m:r>
                    <m:rPr>
                      <m:sty m:val="p"/>
                    </m:rPr>
                    <m:t>×</m:t>
                  </m:r>
                  <m:d>
                    <m:dPr>
                      <m:begChr m:val="("/>
                      <m:sepChr m:val=""/>
                      <m:endChr m:val=")"/>
                      <m:grow/>
                    </m:dPr>
                    <m:e>
                      <m:r>
                        <m:t>1</m:t>
                      </m:r>
                      <m:r>
                        <m:rPr>
                          <m:sty m:val="p"/>
                        </m:rPr>
                        <m:t>+</m:t>
                      </m:r>
                      <m:r>
                        <m:t>0.25</m:t>
                      </m:r>
                    </m:e>
                  </m:d>
                  <m:r>
                    <m:rPr>
                      <m:sty m:val="p"/>
                    </m:rPr>
                    <m:t>×</m:t>
                  </m:r>
                  <m:d>
                    <m:dPr>
                      <m:begChr m:val="("/>
                      <m:sepChr m:val=""/>
                      <m:endChr m:val=")"/>
                      <m:grow/>
                    </m:dPr>
                    <m:e>
                      <m:r>
                        <m:t>1</m:t>
                      </m:r>
                      <m:r>
                        <m:rPr>
                          <m:sty m:val="p"/>
                        </m:rPr>
                        <m:t>−</m:t>
                      </m:r>
                      <m:r>
                        <m:t>0.20</m:t>
                      </m:r>
                    </m:e>
                  </m:d>
                  <m:r>
                    <m:rPr>
                      <m:sty m:val="p"/>
                    </m:rPr>
                    <m:t>×</m:t>
                  </m:r>
                  <m:d>
                    <m:dPr>
                      <m:begChr m:val="("/>
                      <m:sepChr m:val=""/>
                      <m:endChr m:val=")"/>
                      <m:grow/>
                    </m:dPr>
                    <m:e>
                      <m:r>
                        <m:t>1</m:t>
                      </m:r>
                      <m:r>
                        <m:rPr>
                          <m:sty m:val="p"/>
                        </m:rPr>
                        <m:t>+</m:t>
                      </m:r>
                      <m:r>
                        <m:t>0.20</m:t>
                      </m:r>
                    </m:e>
                  </m:d>
                </m:e>
              </m:d>
            </m:e>
            <m:sup>
              <m:r>
                <m:t>1</m:t>
              </m:r>
              <m:r>
                <m:rPr>
                  <m:sty m:val="p"/>
                </m:rPr>
                <m:t>/</m:t>
              </m:r>
              <m:r>
                <m:t>4</m:t>
              </m:r>
            </m:sup>
          </m:sSup>
          <m:r>
            <m:rPr>
              <m:sty m:val="p"/>
            </m:rPr>
            <m:t>−</m:t>
          </m:r>
          <m:r>
            <m:t>1</m:t>
          </m:r>
          <m:r>
            <m:rPr>
              <m:sty m:val="p"/>
            </m:rPr>
            <m:t>=</m:t>
          </m:r>
          <m:r>
            <m:t>0.0719</m:t>
          </m:r>
          <m:r>
            <m:rPr>
              <m:sty m:val="p"/>
            </m:rPr>
            <m:t>,</m:t>
          </m:r>
          <m:r>
            <m:rPr>
              <m:nor/>
              <m:sty m:val="p"/>
            </m:rPr>
            <m:t> or </m:t>
          </m:r>
          <m:r>
            <m:t>7.19</m:t>
          </m:r>
          <m:r>
            <m:rPr>
              <m:sty m:val="p"/>
            </m:rPr>
            <m:t>%</m:t>
          </m:r>
          <m:r>
            <m:t>  </m:t>
          </m:r>
          <m:d>
            <m:dPr>
              <m:begChr m:val="("/>
              <m:sepChr m:val=""/>
              <m:endChr m:val=")"/>
              <m:grow/>
            </m:dPr>
            <m:e>
              <m:r>
                <m:t>2</m:t>
              </m:r>
            </m:e>
          </m:d>
        </m:oMath>
      </m:oMathPara>
      <w:bookmarkEnd w:id="23"/>
    </w:p>
    <w:p>
      <w:pPr>
        <w:pStyle w:val="FirstParagraph"/>
      </w:pPr>
      <w:r>
        <w:t xml:space="preserve">The geometric return is also called a</w:t>
      </w:r>
      <w:r>
        <w:t xml:space="preserve"> </w:t>
      </w:r>
      <w:r>
        <w:rPr>
          <w:b/>
          <w:bCs/>
        </w:rPr>
        <w:t xml:space="preserve">time-weighted average return</w:t>
      </w:r>
      <w:r>
        <w:t xml:space="preserve"> </w:t>
      </w:r>
      <w:r>
        <w:t xml:space="preserve">because it ignores the year-by-year variation in funds under management.</w:t>
      </w:r>
    </w:p>
    <w:bookmarkEnd w:id="24"/>
    <w:bookmarkStart w:id="29" w:name="dollar-weighted-return"/>
    <w:p>
      <w:pPr>
        <w:pStyle w:val="Heading4"/>
      </w:pPr>
      <w:r>
        <w:t xml:space="preserve">5.1.1.3 Dollar-Weighted Return</w:t>
      </w:r>
    </w:p>
    <w:p>
      <w:pPr>
        <w:pStyle w:val="FirstParagraph"/>
      </w:pPr>
      <w:r>
        <w:t xml:space="preserve">The</w:t>
      </w:r>
      <w:r>
        <w:t xml:space="preserve"> </w:t>
      </w:r>
      <w:r>
        <w:rPr>
          <w:b/>
          <w:bCs/>
        </w:rPr>
        <w:t xml:space="preserve">dollar-weighted average return</w:t>
      </w:r>
      <w:r>
        <w:t xml:space="preserve"> </w:t>
      </w:r>
      <w:r>
        <w:t xml:space="preserve">is the internal rate of return (IRR) on the investment. To account for varying amounts under management, we treat the fund cash flows as we would a capital budgeting problem in corporate finance. The initial value of $1 million and the net cash inflows are treated as the cash flows associated with an investment</w:t>
      </w:r>
      <w:r>
        <w:t xml:space="preserve"> </w:t>
      </w:r>
      <w:r>
        <w:t xml:space="preserve">“project.”</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pPr>
          </w:p>
        </w:tc>
        <w:tc>
          <w:tcPr/>
          <w:p>
            <w:pPr>
              <w:pStyle w:val="Compact"/>
              <w:jc w:val="center"/>
            </w:pPr>
            <w:r>
              <w:t xml:space="preserve">Year 0</w:t>
            </w:r>
          </w:p>
        </w:tc>
        <w:tc>
          <w:tcPr/>
          <w:p>
            <w:pPr>
              <w:pStyle w:val="Compact"/>
              <w:jc w:val="center"/>
            </w:pPr>
            <w:r>
              <w:t xml:space="preserve">Year 1</w:t>
            </w:r>
          </w:p>
        </w:tc>
        <w:tc>
          <w:tcPr/>
          <w:p>
            <w:pPr>
              <w:pStyle w:val="Compact"/>
              <w:jc w:val="center"/>
            </w:pPr>
            <w:r>
              <w:t xml:space="preserve">Year 2</w:t>
            </w:r>
          </w:p>
        </w:tc>
        <w:tc>
          <w:tcPr/>
          <w:p>
            <w:pPr>
              <w:pStyle w:val="Compact"/>
              <w:jc w:val="center"/>
            </w:pPr>
            <w:r>
              <w:t xml:space="preserve">Year 3</w:t>
            </w:r>
          </w:p>
        </w:tc>
        <w:tc>
          <w:tcPr/>
          <w:p>
            <w:pPr>
              <w:pStyle w:val="Compact"/>
              <w:jc w:val="center"/>
            </w:pPr>
            <w:r>
              <w:t xml:space="preserve">Year 4</w:t>
            </w:r>
          </w:p>
        </w:tc>
      </w:tr>
      <w:tr>
        <w:tc>
          <w:tcPr/>
          <w:p>
            <w:pPr>
              <w:pStyle w:val="Compact"/>
              <w:jc w:val="left"/>
            </w:pPr>
            <w:r>
              <w:t xml:space="preserve">Net cash flow ($ million)</w:t>
            </w:r>
          </w:p>
        </w:tc>
        <w:tc>
          <w:tcPr/>
          <w:p>
            <w:pPr>
              <w:pStyle w:val="Compact"/>
              <w:jc w:val="center"/>
            </w:pPr>
            <w:r>
              <w:t xml:space="preserve">−1.0</w:t>
            </w:r>
          </w:p>
        </w:tc>
        <w:tc>
          <w:tcPr/>
          <w:p>
            <w:pPr>
              <w:pStyle w:val="Compact"/>
              <w:jc w:val="center"/>
            </w:pPr>
            <w:r>
              <w:t xml:space="preserve">−0.1</w:t>
            </w:r>
          </w:p>
        </w:tc>
        <w:tc>
          <w:tcPr/>
          <w:p>
            <w:pPr>
              <w:pStyle w:val="Compact"/>
              <w:jc w:val="center"/>
            </w:pPr>
            <w:r>
              <w:t xml:space="preserve">−0.5</w:t>
            </w:r>
          </w:p>
        </w:tc>
        <w:tc>
          <w:tcPr/>
          <w:p>
            <w:pPr>
              <w:pStyle w:val="Compact"/>
              <w:jc w:val="center"/>
            </w:pPr>
            <w:r>
              <w:t xml:space="preserve">0.8</w:t>
            </w:r>
          </w:p>
        </w:tc>
        <w:tc>
          <w:tcPr/>
          <w:p>
            <w:pPr>
              <w:pStyle w:val="Compact"/>
              <w:jc w:val="center"/>
            </w:pPr>
            <w:r>
              <w:t xml:space="preserve">−0.6 + 1.56 = 0.96</w:t>
            </w:r>
          </w:p>
        </w:tc>
      </w:tr>
    </w:tbl>
    <w:p>
      <w:pPr>
        <w:pStyle w:val="BodyText"/>
      </w:pPr>
      <w:r>
        <w:t xml:space="preserve">The IRR is the interest rate that satisfies:</w:t>
      </w:r>
    </w:p>
    <w:p>
      <w:pPr>
        <w:pStyle w:val="BodyText"/>
      </w:pPr>
      <w:bookmarkStart w:id="25" w:name="eq-irr"/>
      <m:oMathPara>
        <m:oMathParaPr>
          <m:jc m:val="center"/>
        </m:oMathParaPr>
        <m:oMath>
          <m:r>
            <m:t>0</m:t>
          </m:r>
          <m:r>
            <m:rPr>
              <m:sty m:val="p"/>
            </m:rPr>
            <m:t>=</m:t>
          </m:r>
          <m:r>
            <m:rPr>
              <m:sty m:val="p"/>
            </m:rPr>
            <m:t>−</m:t>
          </m:r>
          <m:r>
            <m:t>1.0</m:t>
          </m:r>
          <m:r>
            <m:rPr>
              <m:sty m:val="p"/>
            </m:rPr>
            <m:t>+</m:t>
          </m:r>
          <m:f>
            <m:fPr>
              <m:type m:val="bar"/>
            </m:fPr>
            <m:num>
              <m:r>
                <m:rPr>
                  <m:sty m:val="p"/>
                </m:rPr>
                <m:t>−</m:t>
              </m:r>
              <m:r>
                <m:t>0.1</m:t>
              </m:r>
            </m:num>
            <m:den>
              <m:r>
                <m:t>1</m:t>
              </m:r>
              <m:r>
                <m:rPr>
                  <m:sty m:val="p"/>
                </m:rPr>
                <m:t>+</m:t>
              </m:r>
              <m:r>
                <m:t>I</m:t>
              </m:r>
              <m:r>
                <m:t>R</m:t>
              </m:r>
              <m:r>
                <m:t>R</m:t>
              </m:r>
            </m:den>
          </m:f>
          <m:r>
            <m:rPr>
              <m:sty m:val="p"/>
            </m:rPr>
            <m:t>+</m:t>
          </m:r>
          <m:f>
            <m:fPr>
              <m:type m:val="bar"/>
            </m:fPr>
            <m:num>
              <m:r>
                <m:rPr>
                  <m:sty m:val="p"/>
                </m:rPr>
                <m:t>−</m:t>
              </m:r>
              <m:r>
                <m:t>0.5</m:t>
              </m:r>
            </m:num>
            <m:den>
              <m:sSup>
                <m:e>
                  <m:d>
                    <m:dPr>
                      <m:begChr m:val="("/>
                      <m:sepChr m:val=""/>
                      <m:endChr m:val=")"/>
                      <m:grow/>
                    </m:dPr>
                    <m:e>
                      <m:r>
                        <m:t>1</m:t>
                      </m:r>
                      <m:r>
                        <m:rPr>
                          <m:sty m:val="p"/>
                        </m:rPr>
                        <m:t>+</m:t>
                      </m:r>
                      <m:r>
                        <m:t>I</m:t>
                      </m:r>
                      <m:r>
                        <m:t>R</m:t>
                      </m:r>
                      <m:r>
                        <m:t>R</m:t>
                      </m:r>
                    </m:e>
                  </m:d>
                </m:e>
                <m:sup>
                  <m:r>
                    <m:t>2</m:t>
                  </m:r>
                </m:sup>
              </m:sSup>
            </m:den>
          </m:f>
          <m:r>
            <m:rPr>
              <m:sty m:val="p"/>
            </m:rPr>
            <m:t>+</m:t>
          </m:r>
          <m:f>
            <m:fPr>
              <m:type m:val="bar"/>
            </m:fPr>
            <m:num>
              <m:r>
                <m:t>0.8</m:t>
              </m:r>
            </m:num>
            <m:den>
              <m:sSup>
                <m:e>
                  <m:d>
                    <m:dPr>
                      <m:begChr m:val="("/>
                      <m:sepChr m:val=""/>
                      <m:endChr m:val=")"/>
                      <m:grow/>
                    </m:dPr>
                    <m:e>
                      <m:r>
                        <m:t>1</m:t>
                      </m:r>
                      <m:r>
                        <m:rPr>
                          <m:sty m:val="p"/>
                        </m:rPr>
                        <m:t>+</m:t>
                      </m:r>
                      <m:r>
                        <m:t>I</m:t>
                      </m:r>
                      <m:r>
                        <m:t>R</m:t>
                      </m:r>
                      <m:r>
                        <m:t>R</m:t>
                      </m:r>
                    </m:e>
                  </m:d>
                </m:e>
                <m:sup>
                  <m:r>
                    <m:t>3</m:t>
                  </m:r>
                </m:sup>
              </m:sSup>
            </m:den>
          </m:f>
          <m:r>
            <m:rPr>
              <m:sty m:val="p"/>
            </m:rPr>
            <m:t>+</m:t>
          </m:r>
          <m:f>
            <m:fPr>
              <m:type m:val="bar"/>
            </m:fPr>
            <m:num>
              <m:r>
                <m:t>0.96</m:t>
              </m:r>
            </m:num>
            <m:den>
              <m:sSup>
                <m:e>
                  <m:d>
                    <m:dPr>
                      <m:begChr m:val="("/>
                      <m:sepChr m:val=""/>
                      <m:endChr m:val=")"/>
                      <m:grow/>
                    </m:dPr>
                    <m:e>
                      <m:r>
                        <m:t>1</m:t>
                      </m:r>
                      <m:r>
                        <m:rPr>
                          <m:sty m:val="p"/>
                        </m:rPr>
                        <m:t>+</m:t>
                      </m:r>
                      <m:r>
                        <m:t>I</m:t>
                      </m:r>
                      <m:r>
                        <m:t>R</m:t>
                      </m:r>
                      <m:r>
                        <m:t>R</m:t>
                      </m:r>
                    </m:e>
                  </m:d>
                </m:e>
                <m:sup>
                  <m:r>
                    <m:t>4</m:t>
                  </m:r>
                </m:sup>
              </m:sSup>
            </m:den>
          </m:f>
          <m:r>
            <m:t>  </m:t>
          </m:r>
          <m:d>
            <m:dPr>
              <m:begChr m:val="("/>
              <m:sepChr m:val=""/>
              <m:endChr m:val=")"/>
              <m:grow/>
            </m:dPr>
            <m:e>
              <m:r>
                <m:t>3</m:t>
              </m:r>
            </m:e>
          </m:d>
        </m:oMath>
      </m:oMathPara>
      <w:bookmarkEnd w:id="25"/>
    </w:p>
    <w:p>
      <w:pPr>
        <w:pStyle w:val="FirstParagraph"/>
      </w:pPr>
      <w:r>
        <w:t xml:space="preserve">The solution is IRR = 0.0338 = 3.38%. The dollar-weighted return in this example is smaller than the time-weighted return of 7.19% because the portfolio returns were higher when less money was under management — an unfavorable combination.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tip.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5.1</w:t>
            </w:r>
          </w:p>
        </w:tc>
      </w:tr>
      <w:tr>
        <w:trPr>
          <w:cantSplit/>
        </w:trPr>
        <w:tc>
          <w:tcPr>
            <w:tcMar>
              <w:top w:w="108" w:type="dxa"/>
              <w:bottom w:w="108" w:type="dxa"/>
            </w:tcMar>
          </w:tcPr>
          <w:p>
            <w:pPr>
              <w:pStyle w:val="BodyText"/>
            </w:pPr>
            <w:pPr>
              <w:spacing w:before="16"/>
            </w:pPr>
            <w:r>
              <w:t xml:space="preserve">A fund begins with $10 million and reports the following monthly results (with negative figures in parentheses):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t xml:space="preserve">Month 1</w:t>
                  </w:r>
                </w:p>
              </w:tc>
              <w:tc>
                <w:tcPr/>
                <w:p>
                  <w:pPr>
                    <w:pStyle w:val="Compact"/>
                    <w:jc w:val="center"/>
                  </w:pPr>
                  <w:r>
                    <w:t xml:space="preserve">Month 2</w:t>
                  </w:r>
                </w:p>
              </w:tc>
              <w:tc>
                <w:tcPr/>
                <w:p>
                  <w:pPr>
                    <w:pStyle w:val="Compact"/>
                    <w:jc w:val="center"/>
                  </w:pPr>
                  <w:r>
                    <w:t xml:space="preserve">Month 3</w:t>
                  </w:r>
                </w:p>
              </w:tc>
            </w:tr>
            <w:tr>
              <w:tc>
                <w:tcPr/>
                <w:p>
                  <w:pPr>
                    <w:pStyle w:val="Compact"/>
                    <w:jc w:val="left"/>
                  </w:pPr>
                  <w:r>
                    <w:t xml:space="preserve">Net inflows (end of month, $ million)</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0</w:t>
                  </w:r>
                </w:p>
              </w:tc>
            </w:tr>
            <w:tr>
              <w:tc>
                <w:tcPr/>
                <w:p>
                  <w:pPr>
                    <w:pStyle w:val="Compact"/>
                    <w:jc w:val="left"/>
                  </w:pPr>
                  <w:r>
                    <w:t xml:space="preserve">HPR (%)</w:t>
                  </w:r>
                </w:p>
              </w:tc>
              <w:tc>
                <w:tcPr/>
                <w:p>
                  <w:pPr>
                    <w:pStyle w:val="Compact"/>
                    <w:jc w:val="center"/>
                  </w:pPr>
                  <w:r>
                    <w:t xml:space="preserve">2</w:t>
                  </w:r>
                </w:p>
              </w:tc>
              <w:tc>
                <w:tcPr/>
                <w:p>
                  <w:pPr>
                    <w:pStyle w:val="Compact"/>
                    <w:jc w:val="center"/>
                  </w:pPr>
                  <w:r>
                    <w:t xml:space="preserve">8</w:t>
                  </w:r>
                </w:p>
              </w:tc>
              <w:tc>
                <w:tcPr/>
                <w:p>
                  <w:pPr>
                    <w:pStyle w:val="Compact"/>
                    <w:jc w:val="center"/>
                  </w:pPr>
                  <w:r>
                    <w:t xml:space="preserve">(4)</w:t>
                  </w:r>
                </w:p>
              </w:tc>
            </w:tr>
          </w:tbl>
          <w:p>
            <w:pPr>
              <w:pStyle w:val="BodyText"/>
            </w:pPr>
            <w:pPr>
              <w:spacing w:after="16"/>
            </w:pPr>
            <w:r>
              <w:t xml:space="preserve">Compute the arithmetic, time-weighted, and dollar-weighted average monthly returns.</w:t>
            </w:r>
          </w:p>
          <w:p/>
        </w:tc>
      </w:tr>
    </w:tbl>
    <w:bookmarkEnd w:id="29"/>
    <w:bookmarkEnd w:id="30"/>
    <w:bookmarkStart w:id="33" w:name="X7619119b8c1f87b087f92e750bf3e7fea07bb95"/>
    <w:p>
      <w:pPr>
        <w:pStyle w:val="Heading3"/>
      </w:pPr>
      <w:r>
        <w:t xml:space="preserve">5.1.2 Conventions for Annualizing Rates of Return</w:t>
      </w:r>
    </w:p>
    <w:p>
      <w:pPr>
        <w:pStyle w:val="FirstParagraph"/>
      </w:pPr>
      <w:r>
        <w:t xml:space="preserve">There are several ways to annualize rates of return. Returns on assets with regular intra-year cash flows are usually quoted as</w:t>
      </w:r>
      <w:r>
        <w:t xml:space="preserve"> </w:t>
      </w:r>
      <w:r>
        <w:rPr>
          <w:b/>
          <w:bCs/>
        </w:rPr>
        <w:t xml:space="preserve">annual percentage rates (APRs)</w:t>
      </w:r>
      <w:r>
        <w:t xml:space="preserve">, which annualize per-period rates using a simple interest approach, ignoring compound interest:</w:t>
      </w:r>
    </w:p>
    <w:p>
      <w:pPr>
        <w:pStyle w:val="BodyText"/>
      </w:pPr>
      <m:oMathPara>
        <m:oMathParaPr>
          <m:jc m:val="center"/>
        </m:oMathParaPr>
        <m:oMath>
          <m:r>
            <m:t>A</m:t>
          </m:r>
          <m:r>
            <m:t>P</m:t>
          </m:r>
          <m:r>
            <m:t>R</m:t>
          </m:r>
          <m:r>
            <m:rPr>
              <m:sty m:val="p"/>
            </m:rPr>
            <m:t>=</m:t>
          </m:r>
          <m:r>
            <m:rPr>
              <m:nor/>
              <m:sty m:val="p"/>
            </m:rPr>
            <m:t>Per-period rate</m:t>
          </m:r>
          <m:r>
            <m:rPr>
              <m:sty m:val="p"/>
            </m:rPr>
            <m:t>×</m:t>
          </m:r>
          <m:r>
            <m:rPr>
              <m:nor/>
              <m:sty m:val="p"/>
            </m:rPr>
            <m:t>Periods per year</m:t>
          </m:r>
        </m:oMath>
      </m:oMathPara>
    </w:p>
    <w:p>
      <w:pPr>
        <w:pStyle w:val="FirstParagraph"/>
      </w:pPr>
      <w:r>
        <w:t xml:space="preserve">However, because it ignores compounding, the APR does not equal the rate at which your invested funds actually grow. The latter is called the</w:t>
      </w:r>
      <w:r>
        <w:t xml:space="preserve"> </w:t>
      </w:r>
      <w:r>
        <w:rPr>
          <w:b/>
          <w:bCs/>
        </w:rPr>
        <w:t xml:space="preserve">effective annual rate (EAR)</w:t>
      </w:r>
      <w:r>
        <w:t xml:space="preserve">. When there are</w:t>
      </w:r>
      <w:r>
        <w:t xml:space="preserve"> </w:t>
      </w:r>
      <m:oMath>
        <m:r>
          <m:t>n</m:t>
        </m:r>
      </m:oMath>
      <w:r>
        <w:t xml:space="preserve"> </w:t>
      </w:r>
      <w:r>
        <w:t xml:space="preserve">compounding periods in the year:</w:t>
      </w:r>
    </w:p>
    <w:p>
      <w:pPr>
        <w:pStyle w:val="BodyText"/>
      </w:pPr>
      <w:bookmarkStart w:id="31" w:name="eq-ear"/>
      <m:oMathPara>
        <m:oMathParaPr>
          <m:jc m:val="center"/>
        </m:oMathParaPr>
        <m:oMath>
          <m:r>
            <m:t>1</m:t>
          </m:r>
          <m:r>
            <m:rPr>
              <m:sty m:val="p"/>
            </m:rPr>
            <m:t>+</m:t>
          </m:r>
          <m:r>
            <m:t>E</m:t>
          </m:r>
          <m:r>
            <m:t>A</m:t>
          </m:r>
          <m:r>
            <m:t>R</m:t>
          </m:r>
          <m:r>
            <m:rPr>
              <m:sty m:val="p"/>
            </m:rPr>
            <m:t>=</m:t>
          </m:r>
          <m:sSup>
            <m:e>
              <m:d>
                <m:dPr>
                  <m:begChr m:val="("/>
                  <m:sepChr m:val=""/>
                  <m:endChr m:val=")"/>
                  <m:grow/>
                </m:dPr>
                <m:e>
                  <m:r>
                    <m:t>1</m:t>
                  </m:r>
                  <m:r>
                    <m:rPr>
                      <m:sty m:val="p"/>
                    </m:rPr>
                    <m:t>+</m:t>
                  </m:r>
                  <m:f>
                    <m:fPr>
                      <m:type m:val="bar"/>
                    </m:fPr>
                    <m:num>
                      <m:r>
                        <m:t>A</m:t>
                      </m:r>
                      <m:r>
                        <m:t>P</m:t>
                      </m:r>
                      <m:r>
                        <m:t>R</m:t>
                      </m:r>
                    </m:num>
                    <m:den>
                      <m:r>
                        <m:t>n</m:t>
                      </m:r>
                    </m:den>
                  </m:f>
                </m:e>
              </m:d>
            </m:e>
            <m:sup>
              <m:r>
                <m:t>n</m:t>
              </m:r>
            </m:sup>
          </m:sSup>
          <m:r>
            <m:t>  </m:t>
          </m:r>
          <m:d>
            <m:dPr>
              <m:begChr m:val="("/>
              <m:sepChr m:val=""/>
              <m:endChr m:val=")"/>
              <m:grow/>
            </m:dPr>
            <m:e>
              <m:r>
                <m:t>4</m:t>
              </m:r>
            </m:e>
          </m:d>
        </m:oMath>
      </m:oMathPara>
      <w:bookmarkEnd w:id="31"/>
    </w:p>
    <w:p>
      <w:pPr>
        <w:pStyle w:val="FirstParagraph"/>
      </w:pPr>
      <w:r>
        <w:rPr>
          <w:b/>
          <w:bCs/>
        </w:rPr>
        <w:t xml:space="preserve">Example 5.2 — Annualizing Treasury-Bill Returns:</w:t>
      </w:r>
      <w:r>
        <w:t xml:space="preserve"> </w:t>
      </w:r>
      <w:r>
        <w:t xml:space="preserve">Suppose you buy a $10,000 face value Treasury bill maturing in six months for $9,900. The holding period return for this six-month investment is:</w:t>
      </w:r>
    </w:p>
    <w:p>
      <w:pPr>
        <w:pStyle w:val="BodyText"/>
      </w:pPr>
      <m:oMathPara>
        <m:oMathParaPr>
          <m:jc m:val="center"/>
        </m:oMathParaPr>
        <m:oMath>
          <m:r>
            <m:t>H</m:t>
          </m:r>
          <m:r>
            <m:t>P</m:t>
          </m:r>
          <m:r>
            <m:t>R</m:t>
          </m:r>
          <m:r>
            <m:rPr>
              <m:sty m:val="p"/>
            </m:rPr>
            <m:t>=</m:t>
          </m:r>
          <m:f>
            <m:fPr>
              <m:type m:val="bar"/>
            </m:fPr>
            <m:num>
              <m:r>
                <m:t>0</m:t>
              </m:r>
              <m:r>
                <m:rPr>
                  <m:sty m:val="p"/>
                </m:rPr>
                <m:t>+</m:t>
              </m:r>
              <m:r>
                <m:rPr>
                  <m:sty m:val="p"/>
                </m:rPr>
                <m:t>$</m:t>
              </m:r>
              <m:r>
                <m:t>100</m:t>
              </m:r>
            </m:num>
            <m:den>
              <m:r>
                <m:rPr>
                  <m:sty m:val="p"/>
                </m:rPr>
                <m:t>$</m:t>
              </m:r>
              <m:r>
                <m:t>9</m:t>
              </m:r>
              <m:r>
                <m:rPr>
                  <m:sty m:val="p"/>
                </m:rPr>
                <m:t>,</m:t>
              </m:r>
              <m:r>
                <m:t>900</m:t>
              </m:r>
            </m:den>
          </m:f>
          <m:r>
            <m:rPr>
              <m:sty m:val="p"/>
            </m:rPr>
            <m:t>=</m:t>
          </m:r>
          <m:r>
            <m:t>0.0101</m:t>
          </m:r>
          <m:r>
            <m:rPr>
              <m:sty m:val="p"/>
            </m:rPr>
            <m:t>=</m:t>
          </m:r>
          <m:r>
            <m:t>1.01</m:t>
          </m:r>
          <m:r>
            <m:rPr>
              <m:sty m:val="p"/>
            </m:rPr>
            <m:t>%</m:t>
          </m:r>
        </m:oMath>
      </m:oMathPara>
    </w:p>
    <w:p>
      <w:pPr>
        <w:pStyle w:val="FirstParagraph"/>
      </w:pPr>
      <w:r>
        <w:t xml:space="preserve">The APR on this investment is therefore</w:t>
      </w:r>
      <w:r>
        <w:t xml:space="preserve"> </w:t>
      </w:r>
      <m:oMath>
        <m:r>
          <m:t>1.01</m:t>
        </m:r>
        <m:r>
          <m:rPr>
            <m:sty m:val="p"/>
          </m:rPr>
          <m:t>%</m:t>
        </m:r>
        <m:r>
          <m:rPr>
            <m:sty m:val="p"/>
          </m:rPr>
          <m:t>×</m:t>
        </m:r>
        <m:r>
          <m:t>2</m:t>
        </m:r>
        <m:r>
          <m:rPr>
            <m:sty m:val="p"/>
          </m:rPr>
          <m:t>=</m:t>
        </m:r>
        <m:r>
          <m:t>2.02</m:t>
        </m:r>
        <m:r>
          <m:rPr>
            <m:sty m:val="p"/>
          </m:rPr>
          <m:t>%</m:t>
        </m:r>
      </m:oMath>
      <w:r>
        <w:t xml:space="preserve">. The effective annual rate is a bit higher:</w:t>
      </w:r>
      <w:r>
        <w:t xml:space="preserve"> </w:t>
      </w:r>
      <m:oMath>
        <m:r>
          <m:t>1</m:t>
        </m:r>
        <m:r>
          <m:rPr>
            <m:sty m:val="p"/>
          </m:rPr>
          <m:t>+</m:t>
        </m:r>
        <m:r>
          <m:t>E</m:t>
        </m:r>
        <m:r>
          <m:t>A</m:t>
        </m:r>
        <m:r>
          <m:t>R</m:t>
        </m:r>
        <m:r>
          <m:rPr>
            <m:sty m:val="p"/>
          </m:rPr>
          <m:t>=</m:t>
        </m:r>
        <m:sSup>
          <m:e>
            <m:d>
              <m:dPr>
                <m:begChr m:val="("/>
                <m:sepChr m:val=""/>
                <m:endChr m:val=")"/>
                <m:grow/>
              </m:dPr>
              <m:e>
                <m:r>
                  <m:t>1.0101</m:t>
                </m:r>
              </m:e>
            </m:d>
          </m:e>
          <m:sup>
            <m:r>
              <m:t>2</m:t>
            </m:r>
          </m:sup>
        </m:sSup>
        <m:r>
          <m:rPr>
            <m:sty m:val="p"/>
          </m:rPr>
          <m:t>=</m:t>
        </m:r>
        <m:r>
          <m:t>1.0203</m:t>
        </m:r>
      </m:oMath>
      <w:r>
        <w:t xml:space="preserve">, which implies that</w:t>
      </w:r>
      <w:r>
        <w:t xml:space="preserve"> </w:t>
      </w:r>
      <m:oMath>
        <m:r>
          <m:t>E</m:t>
        </m:r>
        <m:r>
          <m:t>A</m:t>
        </m:r>
        <m:r>
          <m:t>R</m:t>
        </m:r>
        <m:r>
          <m:rPr>
            <m:sty m:val="p"/>
          </m:rPr>
          <m:t>=</m:t>
        </m:r>
        <m:r>
          <m:t>2.03</m:t>
        </m:r>
        <m:r>
          <m:rPr>
            <m:sty m:val="p"/>
          </m:rPr>
          <m:t>%</m:t>
        </m:r>
      </m:oMath>
      <w:r>
        <w:t xml:space="preserve">.</w:t>
      </w:r>
    </w:p>
    <w:p>
      <w:pPr>
        <w:pStyle w:val="BodyText"/>
      </w:pPr>
      <w:r>
        <w:t xml:space="preserve">With continuous compounding, the APR is related to EAR by:</w:t>
      </w:r>
    </w:p>
    <w:p>
      <w:pPr>
        <w:pStyle w:val="BodyText"/>
      </w:pPr>
      <w:bookmarkStart w:id="32" w:name="eq-continuous"/>
      <m:oMathPara>
        <m:oMathParaPr>
          <m:jc m:val="center"/>
        </m:oMathParaPr>
        <m:oMath>
          <m:r>
            <m:t>1</m:t>
          </m:r>
          <m:r>
            <m:rPr>
              <m:sty m:val="p"/>
            </m:rPr>
            <m:t>+</m:t>
          </m:r>
          <m:r>
            <m:t>E</m:t>
          </m:r>
          <m:r>
            <m:t>A</m:t>
          </m:r>
          <m:r>
            <m:t>R</m:t>
          </m:r>
          <m:r>
            <m:rPr>
              <m:sty m:val="p"/>
            </m:rPr>
            <m:t>=</m:t>
          </m:r>
          <m:sSup>
            <m:e>
              <m:r>
                <m:t>e</m:t>
              </m:r>
            </m:e>
            <m:sup>
              <m:r>
                <m:t>A</m:t>
              </m:r>
              <m:r>
                <m:t>P</m:t>
              </m:r>
              <m:r>
                <m:t>R</m:t>
              </m:r>
            </m:sup>
          </m:sSup>
          <m:r>
            <m:t>  </m:t>
          </m:r>
          <m:d>
            <m:dPr>
              <m:begChr m:val="("/>
              <m:sepChr m:val=""/>
              <m:endChr m:val=")"/>
              <m:grow/>
            </m:dPr>
            <m:e>
              <m:r>
                <m:t>5</m:t>
              </m:r>
            </m:e>
          </m:d>
        </m:oMath>
      </m:oMathPara>
      <w:bookmarkEnd w:id="32"/>
    </w:p>
    <w:p>
      <w:pPr>
        <w:pStyle w:val="FirstParagraph"/>
      </w:pPr>
      <w:r>
        <w:t xml:space="preserve">or equivalently:</w:t>
      </w:r>
      <w:r>
        <w:t xml:space="preserve"> </w:t>
      </w:r>
      <m:oMath>
        <m:r>
          <m:t>A</m:t>
        </m:r>
        <m:r>
          <m:t>P</m:t>
        </m:r>
        <m:r>
          <m:t>R</m:t>
        </m:r>
        <m:r>
          <m:rPr>
            <m:sty m:val="p"/>
          </m:rPr>
          <m:t>=</m:t>
        </m:r>
        <m:r>
          <m:rPr>
            <m:sty m:val="p"/>
          </m:rPr>
          <m:t>ln</m:t>
        </m:r>
        <m:d>
          <m:dPr>
            <m:begChr m:val="("/>
            <m:sepChr m:val=""/>
            <m:endChr m:val=")"/>
            <m:grow/>
          </m:dPr>
          <m:e>
            <m:r>
              <m:t>1</m:t>
            </m:r>
            <m:r>
              <m:rPr>
                <m:sty m:val="p"/>
              </m:rPr>
              <m:t>+</m:t>
            </m:r>
            <m:r>
              <m:t>E</m:t>
            </m:r>
            <m:r>
              <m:t>A</m:t>
            </m:r>
            <m:r>
              <m:t>R</m:t>
            </m:r>
          </m:e>
        </m:d>
        <m:r>
          <m:rPr>
            <m:sty m:val="p"/>
          </m:rPr>
          <m:t>=</m:t>
        </m:r>
        <m:sSub>
          <m:e>
            <m:r>
              <m:t>r</m:t>
            </m:r>
          </m:e>
          <m:sub>
            <m:r>
              <m:t>c</m:t>
            </m:r>
            <m:r>
              <m:t>c</m:t>
            </m:r>
          </m:sub>
        </m:sSub>
      </m:oMath>
    </w:p>
    <w:p>
      <w:r>
        <w:pict>
          <v:rect style="width:0;height:1.5pt" o:hralign="center" o:hrstd="t" o:hr="t"/>
        </w:pict>
      </w:r>
    </w:p>
    <w:bookmarkEnd w:id="33"/>
    <w:bookmarkEnd w:id="34"/>
    <w:bookmarkStart w:id="46" w:name="inflation-and-the-real-rate-of-interest"/>
    <w:p>
      <w:pPr>
        <w:pStyle w:val="Heading2"/>
      </w:pPr>
      <w:r>
        <w:t xml:space="preserve">5.2 Inflation and the Real Rate of Interest</w:t>
      </w:r>
    </w:p>
    <w:p>
      <w:pPr>
        <w:pStyle w:val="FirstParagraph"/>
      </w:pPr>
      <w:r>
        <w:t xml:space="preserve">When prices of goods and services change, we need to distinguish between</w:t>
      </w:r>
      <w:r>
        <w:t xml:space="preserve"> </w:t>
      </w:r>
      <w:r>
        <w:rPr>
          <w:b/>
          <w:bCs/>
        </w:rPr>
        <w:t xml:space="preserve">nominal</w:t>
      </w:r>
      <w:r>
        <w:t xml:space="preserve"> </w:t>
      </w:r>
      <w:r>
        <w:t xml:space="preserve">and</w:t>
      </w:r>
      <w:r>
        <w:t xml:space="preserve"> </w:t>
      </w:r>
      <w:r>
        <w:rPr>
          <w:b/>
          <w:bCs/>
        </w:rPr>
        <w:t xml:space="preserve">real</w:t>
      </w:r>
      <w:r>
        <w:t xml:space="preserve"> </w:t>
      </w:r>
      <w:r>
        <w:t xml:space="preserve">rates of return. The</w:t>
      </w:r>
      <w:r>
        <w:t xml:space="preserve"> </w:t>
      </w:r>
      <w:r>
        <w:rPr>
          <w:b/>
          <w:bCs/>
        </w:rPr>
        <w:t xml:space="preserve">nominal interest rate</w:t>
      </w:r>
      <w:r>
        <w:t xml:space="preserve"> </w:t>
      </w:r>
      <w:r>
        <w:t xml:space="preserve">is the rate at which the dollar value of your account grows. The</w:t>
      </w:r>
      <w:r>
        <w:t xml:space="preserve"> </w:t>
      </w:r>
      <w:r>
        <w:rPr>
          <w:b/>
          <w:bCs/>
        </w:rPr>
        <w:t xml:space="preserve">real interest rate</w:t>
      </w:r>
      <w:r>
        <w:t xml:space="preserve"> </w:t>
      </w:r>
      <w:r>
        <w:t xml:space="preserve">is the rate at which the goods you can buy with your funds grows.</w:t>
      </w:r>
    </w:p>
    <w:p>
      <w:pPr>
        <w:pStyle w:val="BodyText"/>
      </w:pPr>
      <w:r>
        <w:t xml:space="preserve">The exact relationship is:</w:t>
      </w:r>
    </w:p>
    <w:p>
      <w:pPr>
        <w:pStyle w:val="BodyText"/>
      </w:pPr>
      <w:bookmarkStart w:id="35" w:name="eq-real-rate"/>
      <m:oMathPara>
        <m:oMathParaPr>
          <m:jc m:val="center"/>
        </m:oMathParaPr>
        <m:oMath>
          <m:r>
            <m:t>1</m:t>
          </m:r>
          <m:r>
            <m:rPr>
              <m:sty m:val="p"/>
            </m:rPr>
            <m:t>+</m:t>
          </m:r>
          <m:sSub>
            <m:e>
              <m:r>
                <m:t>r</m:t>
              </m:r>
            </m:e>
            <m:sub>
              <m:r>
                <m:t>r</m:t>
              </m:r>
              <m:r>
                <m:t>e</m:t>
              </m:r>
              <m:r>
                <m:t>a</m:t>
              </m:r>
              <m:r>
                <m:t>l</m:t>
              </m:r>
            </m:sub>
          </m:sSub>
          <m:r>
            <m:rPr>
              <m:sty m:val="p"/>
            </m:rPr>
            <m:t>=</m:t>
          </m:r>
          <m:f>
            <m:fPr>
              <m:type m:val="bar"/>
            </m:fPr>
            <m:num>
              <m:r>
                <m:t>1</m:t>
              </m:r>
              <m:r>
                <m:rPr>
                  <m:sty m:val="p"/>
                </m:rPr>
                <m:t>+</m:t>
              </m:r>
              <m:sSub>
                <m:e>
                  <m:r>
                    <m:t>r</m:t>
                  </m:r>
                </m:e>
                <m:sub>
                  <m:r>
                    <m:t>n</m:t>
                  </m:r>
                  <m:r>
                    <m:t>o</m:t>
                  </m:r>
                  <m:r>
                    <m:t>m</m:t>
                  </m:r>
                </m:sub>
              </m:sSub>
            </m:num>
            <m:den>
              <m:r>
                <m:t>1</m:t>
              </m:r>
              <m:r>
                <m:rPr>
                  <m:sty m:val="p"/>
                </m:rPr>
                <m:t>+</m:t>
              </m:r>
              <m:r>
                <m:t>i</m:t>
              </m:r>
            </m:den>
          </m:f>
          <m:r>
            <m:t>  </m:t>
          </m:r>
          <m:d>
            <m:dPr>
              <m:begChr m:val="("/>
              <m:sepChr m:val=""/>
              <m:endChr m:val=")"/>
              <m:grow/>
            </m:dPr>
            <m:e>
              <m:r>
                <m:t>6</m:t>
              </m:r>
            </m:e>
          </m:d>
        </m:oMath>
      </m:oMathPara>
      <w:bookmarkEnd w:id="35"/>
    </w:p>
    <w:p>
      <w:pPr>
        <w:pStyle w:val="FirstParagraph"/>
      </w:pPr>
      <w:r>
        <w:t xml:space="preserve">which can be rearranged to:</w:t>
      </w:r>
    </w:p>
    <w:p>
      <w:pPr>
        <w:pStyle w:val="BodyText"/>
      </w:pPr>
      <w:bookmarkStart w:id="36" w:name="eq-real-rate-exact"/>
      <m:oMathPara>
        <m:oMathParaPr>
          <m:jc m:val="center"/>
        </m:oMathParaPr>
        <m:oMath>
          <m:sSub>
            <m:e>
              <m:r>
                <m:t>r</m:t>
              </m:r>
            </m:e>
            <m:sub>
              <m:r>
                <m:t>r</m:t>
              </m:r>
              <m:r>
                <m:t>e</m:t>
              </m:r>
              <m:r>
                <m:t>a</m:t>
              </m:r>
              <m:r>
                <m:t>l</m:t>
              </m:r>
            </m:sub>
          </m:sSub>
          <m:r>
            <m:rPr>
              <m:sty m:val="p"/>
            </m:rPr>
            <m:t>=</m:t>
          </m:r>
          <m:f>
            <m:fPr>
              <m:type m:val="bar"/>
            </m:fPr>
            <m:num>
              <m:sSub>
                <m:e>
                  <m:r>
                    <m:t>r</m:t>
                  </m:r>
                </m:e>
                <m:sub>
                  <m:r>
                    <m:t>n</m:t>
                  </m:r>
                  <m:r>
                    <m:t>o</m:t>
                  </m:r>
                  <m:r>
                    <m:t>m</m:t>
                  </m:r>
                </m:sub>
              </m:sSub>
              <m:r>
                <m:rPr>
                  <m:sty m:val="p"/>
                </m:rPr>
                <m:t>−</m:t>
              </m:r>
              <m:r>
                <m:t>i</m:t>
              </m:r>
            </m:num>
            <m:den>
              <m:r>
                <m:t>1</m:t>
              </m:r>
              <m:r>
                <m:rPr>
                  <m:sty m:val="p"/>
                </m:rPr>
                <m:t>+</m:t>
              </m:r>
              <m:r>
                <m:t>i</m:t>
              </m:r>
            </m:den>
          </m:f>
          <m:r>
            <m:t>  </m:t>
          </m:r>
          <m:d>
            <m:dPr>
              <m:begChr m:val="("/>
              <m:sepChr m:val=""/>
              <m:endChr m:val=")"/>
              <m:grow/>
            </m:dPr>
            <m:e>
              <m:r>
                <m:t>7</m:t>
              </m:r>
            </m:e>
          </m:d>
        </m:oMath>
      </m:oMathPara>
      <w:bookmarkEnd w:id="36"/>
    </w:p>
    <w:p>
      <w:pPr>
        <w:pStyle w:val="FirstParagraph"/>
      </w:pPr>
      <w:r>
        <w:t xml:space="preserve">A common approximation is:</w:t>
      </w:r>
    </w:p>
    <w:p>
      <w:pPr>
        <w:pStyle w:val="BodyText"/>
      </w:pPr>
      <w:bookmarkStart w:id="37" w:name="eq-real-approx"/>
      <m:oMathPara>
        <m:oMathParaPr>
          <m:jc m:val="center"/>
        </m:oMathParaPr>
        <m:oMath>
          <m:sSub>
            <m:e>
              <m:r>
                <m:t>r</m:t>
              </m:r>
            </m:e>
            <m:sub>
              <m:r>
                <m:t>r</m:t>
              </m:r>
              <m:r>
                <m:t>e</m:t>
              </m:r>
              <m:r>
                <m:t>a</m:t>
              </m:r>
              <m:r>
                <m:t>l</m:t>
              </m:r>
            </m:sub>
          </m:sSub>
          <m:r>
            <m:rPr>
              <m:sty m:val="p"/>
            </m:rPr>
            <m:t>≈</m:t>
          </m:r>
          <m:sSub>
            <m:e>
              <m:r>
                <m:t>r</m:t>
              </m:r>
            </m:e>
            <m:sub>
              <m:r>
                <m:t>n</m:t>
              </m:r>
              <m:r>
                <m:t>o</m:t>
              </m:r>
              <m:r>
                <m:t>m</m:t>
              </m:r>
            </m:sub>
          </m:sSub>
          <m:r>
            <m:rPr>
              <m:sty m:val="p"/>
            </m:rPr>
            <m:t>−</m:t>
          </m:r>
          <m:r>
            <m:t>i</m:t>
          </m:r>
          <m:r>
            <m:t>  </m:t>
          </m:r>
          <m:d>
            <m:dPr>
              <m:begChr m:val="("/>
              <m:sepChr m:val=""/>
              <m:endChr m:val=")"/>
              <m:grow/>
            </m:dPr>
            <m:e>
              <m:r>
                <m:t>8</m:t>
              </m:r>
            </m:e>
          </m:d>
        </m:oMath>
      </m:oMathPara>
      <w:bookmarkEnd w:id="37"/>
    </w:p>
    <w:p>
      <w:pPr>
        <w:pStyle w:val="FirstParagraph"/>
      </w:pPr>
      <w:r>
        <w:t xml:space="preserve">The approximation rule overstates the real rate by the multiple</w:t>
      </w:r>
      <w:r>
        <w:t xml:space="preserve"> </w:t>
      </w:r>
      <m:oMath>
        <m:r>
          <m:t>1</m:t>
        </m:r>
        <m:r>
          <m:rPr>
            <m:sty m:val="p"/>
          </m:rPr>
          <m:t>+</m:t>
        </m:r>
        <m:r>
          <m:t>i</m:t>
        </m:r>
      </m:oMath>
      <w:r>
        <w:t xml:space="preserve">.</w:t>
      </w:r>
    </w:p>
    <w:p>
      <w:pPr>
        <w:pStyle w:val="BodyText"/>
      </w:pPr>
      <w:r>
        <w:rPr>
          <w:b/>
          <w:bCs/>
        </w:rPr>
        <w:t xml:space="preserve">Example 5.3 — Real versus Nominal Rates:</w:t>
      </w:r>
      <w:r>
        <w:t xml:space="preserve"> </w:t>
      </w:r>
      <w:r>
        <w:t xml:space="preserve">If the interest rate on a one-year CD is 8%, and you expect inflation to be 5% over the coming year, the approximation gives</w:t>
      </w:r>
      <w:r>
        <w:t xml:space="preserve"> </w:t>
      </w:r>
      <m:oMath>
        <m:sSub>
          <m:e>
            <m:r>
              <m:t>r</m:t>
            </m:r>
          </m:e>
          <m:sub>
            <m:r>
              <m:t>r</m:t>
            </m:r>
            <m:r>
              <m:t>e</m:t>
            </m:r>
            <m:r>
              <m:t>a</m:t>
            </m:r>
            <m:r>
              <m:t>l</m:t>
            </m:r>
          </m:sub>
        </m:sSub>
        <m:r>
          <m:rPr>
            <m:sty m:val="p"/>
          </m:rPr>
          <m:t>=</m:t>
        </m:r>
        <m:r>
          <m:t>8</m:t>
        </m:r>
        <m:r>
          <m:rPr>
            <m:sty m:val="p"/>
          </m:rPr>
          <m:t>%</m:t>
        </m:r>
        <m:r>
          <m:rPr>
            <m:sty m:val="p"/>
          </m:rPr>
          <m:t>−</m:t>
        </m:r>
        <m:r>
          <m:t>5</m:t>
        </m:r>
        <m:r>
          <m:rPr>
            <m:sty m:val="p"/>
          </m:rPr>
          <m:t>%</m:t>
        </m:r>
        <m:r>
          <m:rPr>
            <m:sty m:val="p"/>
          </m:rPr>
          <m:t>=</m:t>
        </m:r>
        <m:r>
          <m:t>3</m:t>
        </m:r>
        <m:r>
          <m:rPr>
            <m:sty m:val="p"/>
          </m:rPr>
          <m:t>%</m:t>
        </m:r>
      </m:oMath>
      <w:r>
        <w:t xml:space="preserve">. Using the exact formula:</w:t>
      </w:r>
      <w:r>
        <w:t xml:space="preserve"> </w:t>
      </w:r>
      <m:oMath>
        <m:sSub>
          <m:e>
            <m:r>
              <m:t>r</m:t>
            </m:r>
          </m:e>
          <m:sub>
            <m:r>
              <m:t>r</m:t>
            </m:r>
            <m:r>
              <m:t>e</m:t>
            </m:r>
            <m:r>
              <m:t>a</m:t>
            </m:r>
            <m:r>
              <m:t>l</m:t>
            </m:r>
          </m:sub>
        </m:sSub>
        <m:r>
          <m:rPr>
            <m:sty m:val="p"/>
          </m:rPr>
          <m:t>=</m:t>
        </m:r>
        <m:f>
          <m:fPr>
            <m:type m:val="bar"/>
          </m:fPr>
          <m:num>
            <m:r>
              <m:t>0.08</m:t>
            </m:r>
            <m:r>
              <m:rPr>
                <m:sty m:val="p"/>
              </m:rPr>
              <m:t>−</m:t>
            </m:r>
            <m:r>
              <m:t>0.05</m:t>
            </m:r>
          </m:num>
          <m:den>
            <m:r>
              <m:t>1</m:t>
            </m:r>
            <m:r>
              <m:rPr>
                <m:sty m:val="p"/>
              </m:rPr>
              <m:t>+</m:t>
            </m:r>
            <m:r>
              <m:t>0.05</m:t>
            </m:r>
          </m:den>
        </m:f>
        <m:r>
          <m:rPr>
            <m:sty m:val="p"/>
          </m:rPr>
          <m:t>=</m:t>
        </m:r>
        <m:r>
          <m:t>0.0286</m:t>
        </m:r>
      </m:oMath>
      <w:r>
        <w:t xml:space="preserve">, or 2.86%. The approximation overstates the expected real rate by only 0.14 percentage point.</w:t>
      </w:r>
    </w:p>
    <w:bookmarkStart w:id="41" w:name="the-equilibrium-nominal-rate-of-interest"/>
    <w:p>
      <w:pPr>
        <w:pStyle w:val="Heading3"/>
      </w:pPr>
      <w:r>
        <w:t xml:space="preserve">5.2.1 The Equilibrium Nominal Rate of Interest</w:t>
      </w:r>
    </w:p>
    <w:p>
      <w:pPr>
        <w:pStyle w:val="FirstParagraph"/>
      </w:pPr>
      <w:r>
        <w:t xml:space="preserve">Irving Fisher (1930) argued that the nominal rate ought to increase one-for-one with increases in the expected inflation rate. The</w:t>
      </w:r>
      <w:r>
        <w:t xml:space="preserve"> </w:t>
      </w:r>
      <w:r>
        <w:rPr>
          <w:b/>
          <w:bCs/>
        </w:rPr>
        <w:t xml:space="preserve">Fisher equation</w:t>
      </w:r>
      <w:r>
        <w:t xml:space="preserve"> </w:t>
      </w:r>
      <w:r>
        <w:t xml:space="preserve">is:</w:t>
      </w:r>
    </w:p>
    <w:p>
      <w:pPr>
        <w:pStyle w:val="BodyText"/>
      </w:pPr>
      <w:bookmarkStart w:id="38" w:name="eq-fisher"/>
      <m:oMathPara>
        <m:oMathParaPr>
          <m:jc m:val="center"/>
        </m:oMathParaPr>
        <m:oMath>
          <m:sSub>
            <m:e>
              <m:r>
                <m:t>r</m:t>
              </m:r>
            </m:e>
            <m:sub>
              <m:r>
                <m:t>n</m:t>
              </m:r>
              <m:r>
                <m:t>o</m:t>
              </m:r>
              <m:r>
                <m:t>m</m:t>
              </m:r>
            </m:sub>
          </m:sSub>
          <m:r>
            <m:rPr>
              <m:sty m:val="p"/>
            </m:rPr>
            <m:t>=</m:t>
          </m:r>
          <m:sSub>
            <m:e>
              <m:r>
                <m:t>r</m:t>
              </m:r>
            </m:e>
            <m:sub>
              <m:r>
                <m:t>r</m:t>
              </m:r>
              <m:r>
                <m:t>e</m:t>
              </m:r>
              <m:r>
                <m:t>a</m:t>
              </m:r>
              <m:r>
                <m:t>l</m:t>
              </m:r>
            </m:sub>
          </m:sSub>
          <m:r>
            <m:rPr>
              <m:sty m:val="p"/>
            </m:rPr>
            <m:t>+</m:t>
          </m:r>
          <m:r>
            <m:t>E</m:t>
          </m:r>
          <m:d>
            <m:dPr>
              <m:begChr m:val="("/>
              <m:sepChr m:val=""/>
              <m:endChr m:val=")"/>
              <m:grow/>
            </m:dPr>
            <m:e>
              <m:r>
                <m:t>i</m:t>
              </m:r>
            </m:e>
          </m:d>
          <m:r>
            <m:t>  </m:t>
          </m:r>
          <m:d>
            <m:dPr>
              <m:begChr m:val="("/>
              <m:sepChr m:val=""/>
              <m:endChr m:val=")"/>
              <m:grow/>
            </m:dPr>
            <m:e>
              <m:r>
                <m:t>9</m:t>
              </m:r>
            </m:e>
          </m:d>
        </m:oMath>
      </m:oMathPara>
      <w:bookmarkEnd w:id="38"/>
    </w:p>
    <w:p>
      <w:pPr>
        <w:pStyle w:val="FirstParagraph"/>
      </w:pPr>
      <w:r>
        <w:t xml:space="preserve">Suppose the real rate of interest is 2%, and expected inflation is 4%, so that the nominal interest rate is about 6%. If expected inflation rises to 5%, the nominal interest rate should climb to roughly 7%. The increase in the nominal rate offsets the increase in expected inflation, giving investors an unchanged growth rate of purchasing power of 2%.</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quarto/share/formats/docx/tip.png" id="40"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5.2</w:t>
            </w:r>
          </w:p>
        </w:tc>
      </w:tr>
      <w:tr>
        <w:trPr>
          <w:cantSplit/>
        </w:trPr>
        <w:tc>
          <w:tcPr>
            <w:tcMar>
              <w:top w:w="108" w:type="dxa"/>
              <w:bottom w:w="108" w:type="dxa"/>
            </w:tcMar>
          </w:tcPr>
          <w:p>
            <w:pPr>
              <w:numPr>
                <w:ilvl w:val="0"/>
                <w:numId w:val="1001"/>
              </w:numPr>
            </w:pPr>
            <w:r>
              <w:t xml:space="preserve">Suppose the real interest rate is 3% per year and the expected inflation rate is 8%. What is the nominal interest rate?</w:t>
            </w:r>
          </w:p>
          <w:p>
            <w:pPr>
              <w:numPr>
                <w:ilvl w:val="0"/>
                <w:numId w:val="1001"/>
              </w:numPr>
            </w:pPr>
            <w:r>
              <w:t xml:space="preserve">Suppose the expected inflation rate rises to 10%, but the real rate is unchanged. What must happen to the nominal interest rate?</w:t>
            </w:r>
          </w:p>
          <w:p/>
        </w:tc>
      </w:tr>
    </w:tbl>
    <w:bookmarkEnd w:id="41"/>
    <w:bookmarkStart w:id="45" w:name="treasury-bills-and-inflation-19272022"/>
    <w:p>
      <w:pPr>
        <w:pStyle w:val="Heading3"/>
      </w:pPr>
      <w:r>
        <w:t xml:space="preserve">5.2.2 Treasury Bills and Inflation, 1927–2022</w:t>
      </w:r>
    </w:p>
    <w:p>
      <w:pPr>
        <w:pStyle w:val="TableCaption"/>
      </w:pPr>
      <w:r>
        <w:t xml:space="preserve">Table 5.2 — Statistics for T-bill rates, inflation rates, and real rates, 1927–2022</w:t>
      </w:r>
    </w:p>
    <w:tbl>
      <w:tblPr>
        <w:tblStyle w:val="Table"/>
        <w:tblW w:type="pct" w:w="5000"/>
        <w:tblLayout w:type="fixed"/>
        <w:tblLook w:firstRow="1" w:lastRow="0" w:firstColumn="0" w:lastColumn="0" w:noHBand="0" w:noVBand="0" w:val="0020"/>
        <w:tblCaption w:val="Table 5.2 — Statistics for T-bill rates, inflation rates, and real rates, 1927–2022"/>
      </w:tblPr>
      <w:tblGrid>
        <w:gridCol w:w="931"/>
        <w:gridCol w:w="1164"/>
        <w:gridCol w:w="1164"/>
        <w:gridCol w:w="1164"/>
        <w:gridCol w:w="1164"/>
        <w:gridCol w:w="1164"/>
        <w:gridCol w:w="1164"/>
      </w:tblGrid>
      <w:tr>
        <w:trPr>
          <w:tblHeader w:val="on"/>
        </w:trPr>
        <w:tc>
          <w:tcPr/>
          <w:p>
            <w:pPr>
              <w:pStyle w:val="Compact"/>
            </w:pPr>
          </w:p>
        </w:tc>
        <w:tc>
          <w:tcPr/>
          <w:p>
            <w:pPr>
              <w:pStyle w:val="Compact"/>
              <w:jc w:val="center"/>
            </w:pPr>
            <w:r>
              <w:t xml:space="preserve">Average Annual Rates</w:t>
            </w:r>
          </w:p>
        </w:tc>
        <w:tc>
          <w:tcPr/>
          <w:p>
            <w:pPr>
              <w:pStyle w:val="Compact"/>
            </w:pPr>
          </w:p>
        </w:tc>
        <w:tc>
          <w:tcPr/>
          <w:p>
            <w:pPr>
              <w:pStyle w:val="Compact"/>
            </w:pPr>
          </w:p>
        </w:tc>
        <w:tc>
          <w:tcPr/>
          <w:p>
            <w:pPr>
              <w:pStyle w:val="Compact"/>
              <w:jc w:val="center"/>
            </w:pPr>
            <w:r>
              <w:t xml:space="preserve">Standard Deviation</w:t>
            </w:r>
          </w:p>
        </w:tc>
        <w:tc>
          <w:tcPr/>
          <w:p>
            <w:pPr>
              <w:pStyle w:val="Compact"/>
            </w:pPr>
          </w:p>
        </w:tc>
        <w:tc>
          <w:tcPr/>
          <w:p>
            <w:pPr>
              <w:pStyle w:val="Compact"/>
            </w:pPr>
          </w:p>
        </w:tc>
      </w:tr>
      <w:tr>
        <w:tc>
          <w:tcPr/>
          <w:p>
            <w:pPr>
              <w:pStyle w:val="Compact"/>
            </w:pPr>
          </w:p>
        </w:tc>
        <w:tc>
          <w:tcPr/>
          <w:p>
            <w:pPr>
              <w:pStyle w:val="Compact"/>
              <w:jc w:val="center"/>
            </w:pPr>
            <w:r>
              <w:t xml:space="preserve">T-Bills</w:t>
            </w:r>
          </w:p>
        </w:tc>
        <w:tc>
          <w:tcPr/>
          <w:p>
            <w:pPr>
              <w:pStyle w:val="Compact"/>
              <w:jc w:val="center"/>
            </w:pPr>
            <w:r>
              <w:t xml:space="preserve">Inflation</w:t>
            </w:r>
          </w:p>
        </w:tc>
        <w:tc>
          <w:tcPr/>
          <w:p>
            <w:pPr>
              <w:pStyle w:val="Compact"/>
              <w:jc w:val="center"/>
            </w:pPr>
            <w:r>
              <w:t xml:space="preserve">Real T-Bill</w:t>
            </w:r>
          </w:p>
        </w:tc>
        <w:tc>
          <w:tcPr/>
          <w:p>
            <w:pPr>
              <w:pStyle w:val="Compact"/>
              <w:jc w:val="center"/>
            </w:pPr>
            <w:r>
              <w:t xml:space="preserve">T-Bills</w:t>
            </w:r>
          </w:p>
        </w:tc>
        <w:tc>
          <w:tcPr/>
          <w:p>
            <w:pPr>
              <w:pStyle w:val="Compact"/>
              <w:jc w:val="center"/>
            </w:pPr>
            <w:r>
              <w:t xml:space="preserve">Inflation</w:t>
            </w:r>
          </w:p>
        </w:tc>
        <w:tc>
          <w:tcPr/>
          <w:p>
            <w:pPr>
              <w:pStyle w:val="Compact"/>
              <w:jc w:val="center"/>
            </w:pPr>
            <w:r>
              <w:t xml:space="preserve">Real T-Bill</w:t>
            </w:r>
          </w:p>
        </w:tc>
      </w:tr>
      <w:tr>
        <w:tc>
          <w:tcPr/>
          <w:p>
            <w:pPr>
              <w:pStyle w:val="Compact"/>
              <w:jc w:val="left"/>
            </w:pPr>
            <w:r>
              <w:t xml:space="preserve">Full sample</w:t>
            </w:r>
          </w:p>
        </w:tc>
        <w:tc>
          <w:tcPr/>
          <w:p>
            <w:pPr>
              <w:pStyle w:val="Compact"/>
              <w:jc w:val="center"/>
            </w:pPr>
            <w:r>
              <w:t xml:space="preserve">3.28</w:t>
            </w:r>
          </w:p>
        </w:tc>
        <w:tc>
          <w:tcPr/>
          <w:p>
            <w:pPr>
              <w:pStyle w:val="Compact"/>
              <w:jc w:val="center"/>
            </w:pPr>
            <w:r>
              <w:t xml:space="preserve">3.06</w:t>
            </w:r>
          </w:p>
        </w:tc>
        <w:tc>
          <w:tcPr/>
          <w:p>
            <w:pPr>
              <w:pStyle w:val="Compact"/>
              <w:jc w:val="center"/>
            </w:pPr>
            <w:r>
              <w:t xml:space="preserve">0.32</w:t>
            </w:r>
          </w:p>
        </w:tc>
        <w:tc>
          <w:tcPr/>
          <w:p>
            <w:pPr>
              <w:pStyle w:val="Compact"/>
              <w:jc w:val="center"/>
            </w:pPr>
            <w:r>
              <w:t xml:space="preserve">3.09</w:t>
            </w:r>
          </w:p>
        </w:tc>
        <w:tc>
          <w:tcPr/>
          <w:p>
            <w:pPr>
              <w:pStyle w:val="Compact"/>
              <w:jc w:val="center"/>
            </w:pPr>
            <w:r>
              <w:t xml:space="preserve">3.97</w:t>
            </w:r>
          </w:p>
        </w:tc>
        <w:tc>
          <w:tcPr/>
          <w:p>
            <w:pPr>
              <w:pStyle w:val="Compact"/>
              <w:jc w:val="center"/>
            </w:pPr>
            <w:r>
              <w:t xml:space="preserve">3.80</w:t>
            </w:r>
          </w:p>
        </w:tc>
      </w:tr>
      <w:tr>
        <w:tc>
          <w:tcPr/>
          <w:p>
            <w:pPr>
              <w:pStyle w:val="Compact"/>
              <w:jc w:val="left"/>
            </w:pPr>
            <w:r>
              <w:t xml:space="preserve">1927–1951</w:t>
            </w:r>
          </w:p>
        </w:tc>
        <w:tc>
          <w:tcPr/>
          <w:p>
            <w:pPr>
              <w:pStyle w:val="Compact"/>
              <w:jc w:val="center"/>
            </w:pPr>
            <w:r>
              <w:t xml:space="preserve">0.95</w:t>
            </w:r>
          </w:p>
        </w:tc>
        <w:tc>
          <w:tcPr/>
          <w:p>
            <w:pPr>
              <w:pStyle w:val="Compact"/>
              <w:jc w:val="center"/>
            </w:pPr>
            <w:r>
              <w:t xml:space="preserve">1.80</w:t>
            </w:r>
          </w:p>
        </w:tc>
        <w:tc>
          <w:tcPr/>
          <w:p>
            <w:pPr>
              <w:pStyle w:val="Compact"/>
              <w:jc w:val="center"/>
            </w:pPr>
            <w:r>
              <w:t xml:space="preserve">−0.48</w:t>
            </w:r>
          </w:p>
        </w:tc>
        <w:tc>
          <w:tcPr/>
          <w:p>
            <w:pPr>
              <w:pStyle w:val="Compact"/>
              <w:jc w:val="center"/>
            </w:pPr>
            <w:r>
              <w:t xml:space="preserve">1.24</w:t>
            </w:r>
          </w:p>
        </w:tc>
        <w:tc>
          <w:tcPr/>
          <w:p>
            <w:pPr>
              <w:pStyle w:val="Compact"/>
              <w:jc w:val="center"/>
            </w:pPr>
            <w:r>
              <w:t xml:space="preserve">6.06</w:t>
            </w:r>
          </w:p>
        </w:tc>
        <w:tc>
          <w:tcPr/>
          <w:p>
            <w:pPr>
              <w:pStyle w:val="Compact"/>
              <w:jc w:val="center"/>
            </w:pPr>
            <w:r>
              <w:t xml:space="preserve">6.34</w:t>
            </w:r>
          </w:p>
        </w:tc>
      </w:tr>
      <w:tr>
        <w:tc>
          <w:tcPr/>
          <w:p>
            <w:pPr>
              <w:pStyle w:val="Compact"/>
              <w:jc w:val="left"/>
            </w:pPr>
            <w:r>
              <w:t xml:space="preserve">1952–2022</w:t>
            </w:r>
          </w:p>
        </w:tc>
        <w:tc>
          <w:tcPr/>
          <w:p>
            <w:pPr>
              <w:pStyle w:val="Compact"/>
              <w:jc w:val="center"/>
            </w:pPr>
            <w:r>
              <w:t xml:space="preserve">4.11</w:t>
            </w:r>
          </w:p>
        </w:tc>
        <w:tc>
          <w:tcPr/>
          <w:p>
            <w:pPr>
              <w:pStyle w:val="Compact"/>
              <w:jc w:val="center"/>
            </w:pPr>
            <w:r>
              <w:t xml:space="preserve">3.50</w:t>
            </w:r>
          </w:p>
        </w:tc>
        <w:tc>
          <w:tcPr/>
          <w:p>
            <w:pPr>
              <w:pStyle w:val="Compact"/>
              <w:jc w:val="center"/>
            </w:pPr>
            <w:r>
              <w:t xml:space="preserve">0.61</w:t>
            </w:r>
          </w:p>
        </w:tc>
        <w:tc>
          <w:tcPr/>
          <w:p>
            <w:pPr>
              <w:pStyle w:val="Compact"/>
              <w:jc w:val="center"/>
            </w:pPr>
            <w:r>
              <w:t xml:space="preserve">3.13</w:t>
            </w:r>
          </w:p>
        </w:tc>
        <w:tc>
          <w:tcPr/>
          <w:p>
            <w:pPr>
              <w:pStyle w:val="Compact"/>
              <w:jc w:val="center"/>
            </w:pPr>
            <w:r>
              <w:t xml:space="preserve">2.85</w:t>
            </w:r>
          </w:p>
        </w:tc>
        <w:tc>
          <w:tcPr/>
          <w:p>
            <w:pPr>
              <w:pStyle w:val="Compact"/>
              <w:jc w:val="center"/>
            </w:pPr>
            <w:r>
              <w:t xml:space="preserve">2.34</w:t>
            </w:r>
          </w:p>
        </w:tc>
      </w:tr>
    </w:tbl>
    <w:p>
      <w:pPr>
        <w:pStyle w:val="BodyText"/>
      </w:pPr>
      <w:r>
        <w:t xml:space="preserve">Over the full sample, the average nominal rate on T-bills was 3.28%. However, the average inflation rate of 3.06% meant that the average real return on bills was only 0.32%. The Fisher relation appears to work far better when inflation is itself more predictable and investors can more accurately gauge the nominal interest rate they require to provide an acceptable real rate of return.</w:t>
      </w:r>
    </w:p>
    <w:p>
      <w:pPr>
        <w:pStyle w:val="CaptionedFigure"/>
      </w:pPr>
      <w:r>
        <w:drawing>
          <wp:inline>
            <wp:extent cx="5334000" cy="3810000"/>
            <wp:effectExtent b="0" l="0" r="0" t="0"/>
            <wp:docPr descr="Figure 5.1 — Inflation and interest rates, 1927–2022" title="" id="43" name="Picture"/>
            <a:graphic>
              <a:graphicData uri="http://schemas.openxmlformats.org/drawingml/2006/picture">
                <pic:pic>
                  <pic:nvPicPr>
                    <pic:cNvPr descr="../assets/images/Ch05/Figure_5_1_Inflation_Interest_Rates.png" id="44" name="Picture"/>
                    <pic:cNvPicPr>
                      <a:picLocks noChangeArrowheads="1" noChangeAspect="1"/>
                    </pic:cNvPicPr>
                  </pic:nvPicPr>
                  <pic:blipFill>
                    <a:blip r:embed="rId42"/>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Figure 5.1 — Inflation and interest rates, 1927–2022</w:t>
      </w:r>
    </w:p>
    <w:p>
      <w:r>
        <w:pict>
          <v:rect style="width:0;height:1.5pt" o:hralign="center" o:hrstd="t" o:hr="t"/>
        </w:pict>
      </w:r>
    </w:p>
    <w:bookmarkEnd w:id="45"/>
    <w:bookmarkEnd w:id="46"/>
    <w:bookmarkStart w:id="73" w:name="risk-and-risk-premiums"/>
    <w:p>
      <w:pPr>
        <w:pStyle w:val="Heading2"/>
      </w:pPr>
      <w:r>
        <w:t xml:space="preserve">5.3 Risk and Risk Premiums</w:t>
      </w:r>
    </w:p>
    <w:p>
      <w:pPr>
        <w:pStyle w:val="FirstParagraph"/>
      </w:pPr>
      <w:r>
        <w:t xml:space="preserve">Any investment involves some degree of uncertainty about future holding-period returns. Sources of investment risk range from macroeconomic fluctuations, to the changing fortunes of various industries, to firm-specific unexpected developments.</w:t>
      </w:r>
    </w:p>
    <w:bookmarkStart w:id="55" w:name="X969d721fd18054768384f23829ae04ada7af866"/>
    <w:p>
      <w:pPr>
        <w:pStyle w:val="Heading3"/>
      </w:pPr>
      <w:r>
        <w:t xml:space="preserve">5.3.1 Scenario Analysis and Probability Distributions</w:t>
      </w:r>
    </w:p>
    <w:p>
      <w:pPr>
        <w:pStyle w:val="FirstParagraph"/>
      </w:pPr>
      <w:r>
        <w:rPr>
          <w:b/>
          <w:bCs/>
        </w:rPr>
        <w:t xml:space="preserve">Scenario analysis</w:t>
      </w:r>
      <w:r>
        <w:t xml:space="preserve"> </w:t>
      </w:r>
      <w:r>
        <w:t xml:space="preserve">is an approach that devises a list of possible economic scenarios and specifies both the probability of each scenario and the HPR the asset will realize in that scenario. The list of possible HPRs with associated probabilities is called the</w:t>
      </w:r>
      <w:r>
        <w:t xml:space="preserve"> </w:t>
      </w:r>
      <w:r>
        <w:rPr>
          <w:b/>
          <w:bCs/>
        </w:rPr>
        <w:t xml:space="preserve">probability distribution</w:t>
      </w:r>
      <w:r>
        <w:t xml:space="preserve"> </w:t>
      </w:r>
      <w:r>
        <w:t xml:space="preserve">of HPRs.</w:t>
      </w:r>
    </w:p>
    <w:p>
      <w:pPr>
        <w:pStyle w:val="BodyText"/>
      </w:pPr>
      <w:r>
        <w:t xml:space="preserve">The</w:t>
      </w:r>
      <w:r>
        <w:t xml:space="preserve"> </w:t>
      </w:r>
      <w:r>
        <w:rPr>
          <w:b/>
          <w:bCs/>
        </w:rPr>
        <w:t xml:space="preserve">expected return</w:t>
      </w:r>
      <w:r>
        <w:t xml:space="preserve">, denoted</w:t>
      </w:r>
      <w:r>
        <w:t xml:space="preserve"> </w:t>
      </w:r>
      <m:oMath>
        <m:r>
          <m:t>E</m:t>
        </m:r>
        <m:d>
          <m:dPr>
            <m:begChr m:val="("/>
            <m:sepChr m:val=""/>
            <m:endChr m:val=")"/>
            <m:grow/>
          </m:dPr>
          <m:e>
            <m:r>
              <m:t>r</m:t>
            </m:r>
          </m:e>
        </m:d>
      </m:oMath>
      <w:r>
        <w:t xml:space="preserve">, is the weighted average of returns in all possible scenarios, with weights equal to the probability of each scenario:</w:t>
      </w:r>
    </w:p>
    <w:p>
      <w:pPr>
        <w:pStyle w:val="BodyText"/>
      </w:pPr>
      <w:bookmarkStart w:id="47" w:name="eq-expected-return"/>
      <m:oMathPara>
        <m:oMathParaPr>
          <m:jc m:val="center"/>
        </m:oMathParaPr>
        <m:oMath>
          <m:r>
            <m:t>E</m:t>
          </m:r>
          <m:d>
            <m:dPr>
              <m:begChr m:val="("/>
              <m:sepChr m:val=""/>
              <m:endChr m:val=")"/>
              <m:grow/>
            </m:dPr>
            <m:e>
              <m:r>
                <m:t>r</m:t>
              </m:r>
            </m:e>
          </m:d>
          <m:r>
            <m:rPr>
              <m:sty m:val="p"/>
            </m:rPr>
            <m:t>=</m:t>
          </m:r>
          <m:nary>
            <m:naryPr>
              <m:chr m:val="∑"/>
              <m:limLoc m:val="undOvr"/>
              <m:subHide m:val="off"/>
              <m:supHide m:val="off"/>
            </m:naryPr>
            <m:sub>
              <m:r>
                <m:t>s</m:t>
              </m:r>
              <m:r>
                <m:rPr>
                  <m:sty m:val="p"/>
                </m:rPr>
                <m:t>=</m:t>
              </m:r>
              <m:r>
                <m:t>1</m:t>
              </m:r>
            </m:sub>
            <m:sup>
              <m:r>
                <m:t>S</m:t>
              </m:r>
            </m:sup>
            <m:e>
              <m:r>
                <m:t>p</m:t>
              </m:r>
            </m:e>
          </m:nary>
          <m:d>
            <m:dPr>
              <m:begChr m:val="("/>
              <m:sepChr m:val=""/>
              <m:endChr m:val=")"/>
              <m:grow/>
            </m:dPr>
            <m:e>
              <m:r>
                <m:t>s</m:t>
              </m:r>
            </m:e>
          </m:d>
          <m:r>
            <m:t> </m:t>
          </m:r>
          <m:r>
            <m:t>r</m:t>
          </m:r>
          <m:d>
            <m:dPr>
              <m:begChr m:val="("/>
              <m:sepChr m:val=""/>
              <m:endChr m:val=")"/>
              <m:grow/>
            </m:dPr>
            <m:e>
              <m:r>
                <m:t>s</m:t>
              </m:r>
            </m:e>
          </m:d>
          <m:r>
            <m:t>  </m:t>
          </m:r>
          <m:d>
            <m:dPr>
              <m:begChr m:val="("/>
              <m:sepChr m:val=""/>
              <m:endChr m:val=")"/>
              <m:grow/>
            </m:dPr>
            <m:e>
              <m:r>
                <m:t>10</m:t>
              </m:r>
            </m:e>
          </m:d>
        </m:oMath>
      </m:oMathPara>
      <w:bookmarkEnd w:id="47"/>
    </w:p>
    <w:p>
      <w:pPr>
        <w:pStyle w:val="FirstParagraph"/>
      </w:pPr>
      <w:r>
        <w:rPr>
          <w:b/>
          <w:bCs/>
        </w:rPr>
        <w:t xml:space="preserve">Applying this formula</w:t>
      </w:r>
      <w:r>
        <w:t xml:space="preserve"> </w:t>
      </w:r>
      <w:r>
        <w:t xml:space="preserve">to the stock index fund scenario in Spreadsheet 5.1:</w:t>
      </w:r>
    </w:p>
    <w:p>
      <w:pPr>
        <w:pStyle w:val="BodyText"/>
      </w:pPr>
      <m:oMathPara>
        <m:oMathParaPr>
          <m:jc m:val="center"/>
        </m:oMathParaPr>
        <m:oMath>
          <m:r>
            <m:t>E</m:t>
          </m:r>
          <m:d>
            <m:dPr>
              <m:begChr m:val="("/>
              <m:sepChr m:val=""/>
              <m:endChr m:val=")"/>
              <m:grow/>
            </m:dPr>
            <m:e>
              <m:r>
                <m:t>r</m:t>
              </m:r>
            </m:e>
          </m:d>
          <m:r>
            <m:rPr>
              <m:sty m:val="p"/>
            </m:rPr>
            <m:t>=</m:t>
          </m:r>
          <m:d>
            <m:dPr>
              <m:begChr m:val="("/>
              <m:sepChr m:val=""/>
              <m:endChr m:val=")"/>
              <m:grow/>
            </m:dPr>
            <m:e>
              <m:r>
                <m:t>0.05</m:t>
              </m:r>
              <m:r>
                <m:rPr>
                  <m:sty m:val="p"/>
                </m:rPr>
                <m:t>×</m:t>
              </m:r>
              <m:r>
                <m:rPr>
                  <m:sty m:val="p"/>
                </m:rPr>
                <m:t>−</m:t>
              </m:r>
              <m:r>
                <m:t>37</m:t>
              </m:r>
            </m:e>
          </m:d>
          <m:r>
            <m:rPr>
              <m:sty m:val="p"/>
            </m:rPr>
            <m:t>+</m:t>
          </m:r>
          <m:d>
            <m:dPr>
              <m:begChr m:val="("/>
              <m:sepChr m:val=""/>
              <m:endChr m:val=")"/>
              <m:grow/>
            </m:dPr>
            <m:e>
              <m:r>
                <m:t>0.25</m:t>
              </m:r>
              <m:r>
                <m:rPr>
                  <m:sty m:val="p"/>
                </m:rPr>
                <m:t>×</m:t>
              </m:r>
              <m:r>
                <m:rPr>
                  <m:sty m:val="p"/>
                </m:rPr>
                <m:t>−</m:t>
              </m:r>
              <m:r>
                <m:t>11</m:t>
              </m:r>
            </m:e>
          </m:d>
          <m:r>
            <m:rPr>
              <m:sty m:val="p"/>
            </m:rPr>
            <m:t>+</m:t>
          </m:r>
          <m:d>
            <m:dPr>
              <m:begChr m:val="("/>
              <m:sepChr m:val=""/>
              <m:endChr m:val=")"/>
              <m:grow/>
            </m:dPr>
            <m:e>
              <m:r>
                <m:t>0.40</m:t>
              </m:r>
              <m:r>
                <m:rPr>
                  <m:sty m:val="p"/>
                </m:rPr>
                <m:t>×</m:t>
              </m:r>
              <m:r>
                <m:t>14</m:t>
              </m:r>
            </m:e>
          </m:d>
          <m:r>
            <m:rPr>
              <m:sty m:val="p"/>
            </m:rPr>
            <m:t>+</m:t>
          </m:r>
          <m:d>
            <m:dPr>
              <m:begChr m:val="("/>
              <m:sepChr m:val=""/>
              <m:endChr m:val=")"/>
              <m:grow/>
            </m:dPr>
            <m:e>
              <m:r>
                <m:t>0.30</m:t>
              </m:r>
              <m:r>
                <m:rPr>
                  <m:sty m:val="p"/>
                </m:rPr>
                <m:t>×</m:t>
              </m:r>
              <m:r>
                <m:t>30</m:t>
              </m:r>
            </m:e>
          </m:d>
          <m:r>
            <m:rPr>
              <m:sty m:val="p"/>
            </m:rPr>
            <m:t>=</m:t>
          </m:r>
          <m:r>
            <m:t>10.0</m:t>
          </m:r>
          <m:r>
            <m:rPr>
              <m:sty m:val="p"/>
            </m:rPr>
            <m:t>%</m:t>
          </m:r>
        </m:oMath>
      </m:oMathPara>
    </w:p>
    <w:p>
      <w:pPr>
        <w:pStyle w:val="CaptionedFigure"/>
      </w:pPr>
      <w:r>
        <w:drawing>
          <wp:inline>
            <wp:extent cx="5334000" cy="1143000"/>
            <wp:effectExtent b="0" l="0" r="0" t="0"/>
            <wp:docPr descr="Spreadsheet 5.1 — Scenario analysis for a stock index fund" title="" id="49" name="Picture"/>
            <a:graphic>
              <a:graphicData uri="http://schemas.openxmlformats.org/drawingml/2006/picture">
                <pic:pic>
                  <pic:nvPicPr>
                    <pic:cNvPr descr="../assets/images/Ch05/Spreadsheet_5_1_Scenario_Analysis.png" id="50" name="Picture"/>
                    <pic:cNvPicPr>
                      <a:picLocks noChangeArrowheads="1" noChangeAspect="1"/>
                    </pic:cNvPicPr>
                  </pic:nvPicPr>
                  <pic:blipFill>
                    <a:blip r:embed="rId48"/>
                    <a:stretch>
                      <a:fillRect/>
                    </a:stretch>
                  </pic:blipFill>
                  <pic:spPr bwMode="auto">
                    <a:xfrm>
                      <a:off x="0" y="0"/>
                      <a:ext cx="5334000" cy="1143000"/>
                    </a:xfrm>
                    <a:prstGeom prst="rect">
                      <a:avLst/>
                    </a:prstGeom>
                    <a:noFill/>
                    <a:ln w="9525">
                      <a:noFill/>
                      <a:headEnd/>
                      <a:tailEnd/>
                    </a:ln>
                  </pic:spPr>
                </pic:pic>
              </a:graphicData>
            </a:graphic>
          </wp:inline>
        </w:drawing>
      </w:r>
    </w:p>
    <w:p>
      <w:pPr>
        <w:pStyle w:val="ImageCaption"/>
      </w:pPr>
      <w:r>
        <w:t xml:space="preserve">Spreadsheet 5.1 — Scenario analysis for a stock index fund</w:t>
      </w:r>
    </w:p>
    <w:p>
      <w:pPr>
        <w:pStyle w:val="BodyText"/>
      </w:pPr>
      <w:r>
        <w:t xml:space="preserve">The</w:t>
      </w:r>
      <w:r>
        <w:t xml:space="preserve"> </w:t>
      </w:r>
      <w:r>
        <w:rPr>
          <w:b/>
          <w:bCs/>
        </w:rPr>
        <w:t xml:space="preserve">variance</w:t>
      </w:r>
      <w:r>
        <w:t xml:space="preserve"> </w:t>
      </w:r>
      <w:r>
        <w:t xml:space="preserve">is the expected value of the squared deviation from the mean:</w:t>
      </w:r>
    </w:p>
    <w:p>
      <w:pPr>
        <w:pStyle w:val="BodyText"/>
      </w:pPr>
      <w:bookmarkStart w:id="51" w:name="eq-variance"/>
      <m:oMathPara>
        <m:oMathParaPr>
          <m:jc m:val="center"/>
        </m:oMathParaPr>
        <m:oMath>
          <m:r>
            <m:rPr>
              <m:nor/>
              <m:sty m:val="p"/>
            </m:rPr>
            <m:t>Var</m:t>
          </m:r>
          <m:d>
            <m:dPr>
              <m:begChr m:val="("/>
              <m:sepChr m:val=""/>
              <m:endChr m:val=")"/>
              <m:grow/>
            </m:dPr>
            <m:e>
              <m:r>
                <m:t>r</m:t>
              </m:r>
            </m:e>
          </m:d>
          <m:r>
            <m:rPr>
              <m:sty m:val="p"/>
            </m:rPr>
            <m:t>≡</m:t>
          </m:r>
          <m:sSup>
            <m:e>
              <m:r>
                <m:t>σ</m:t>
              </m:r>
            </m:e>
            <m:sup>
              <m:r>
                <m:t>2</m:t>
              </m:r>
            </m:sup>
          </m:sSup>
          <m:r>
            <m:rPr>
              <m:sty m:val="p"/>
            </m:rPr>
            <m:t>=</m:t>
          </m:r>
          <m:nary>
            <m:naryPr>
              <m:chr m:val="∑"/>
              <m:limLoc m:val="undOvr"/>
              <m:subHide m:val="off"/>
              <m:supHide m:val="off"/>
            </m:naryPr>
            <m:sub>
              <m:r>
                <m:t>s</m:t>
              </m:r>
              <m:r>
                <m:rPr>
                  <m:sty m:val="p"/>
                </m:rPr>
                <m:t>=</m:t>
              </m:r>
              <m:r>
                <m:t>1</m:t>
              </m:r>
            </m:sub>
            <m:sup>
              <m:r>
                <m:t>S</m:t>
              </m:r>
            </m:sup>
            <m:e>
              <m:r>
                <m:t>p</m:t>
              </m:r>
            </m:e>
          </m:nary>
          <m:d>
            <m:dPr>
              <m:begChr m:val="("/>
              <m:sepChr m:val=""/>
              <m:endChr m:val=")"/>
              <m:grow/>
            </m:dPr>
            <m:e>
              <m:r>
                <m:t>s</m:t>
              </m:r>
            </m:e>
          </m:d>
          <m:sSup>
            <m:e>
              <m:d>
                <m:dPr>
                  <m:begChr m:val="["/>
                  <m:sepChr m:val=""/>
                  <m:endChr m:val="]"/>
                  <m:grow/>
                </m:dPr>
                <m:e>
                  <m:r>
                    <m:t>r</m:t>
                  </m:r>
                  <m:d>
                    <m:dPr>
                      <m:begChr m:val="("/>
                      <m:sepChr m:val=""/>
                      <m:endChr m:val=")"/>
                      <m:grow/>
                    </m:dPr>
                    <m:e>
                      <m:r>
                        <m:t>s</m:t>
                      </m:r>
                    </m:e>
                  </m:d>
                  <m:r>
                    <m:rPr>
                      <m:sty m:val="p"/>
                    </m:rPr>
                    <m:t>−</m:t>
                  </m:r>
                  <m:r>
                    <m:t>E</m:t>
                  </m:r>
                  <m:d>
                    <m:dPr>
                      <m:begChr m:val="("/>
                      <m:sepChr m:val=""/>
                      <m:endChr m:val=")"/>
                      <m:grow/>
                    </m:dPr>
                    <m:e>
                      <m:r>
                        <m:t>r</m:t>
                      </m:r>
                    </m:e>
                  </m:d>
                </m:e>
              </m:d>
            </m:e>
            <m:sup>
              <m:r>
                <m:t>2</m:t>
              </m:r>
            </m:sup>
          </m:sSup>
          <m:r>
            <m:t>  </m:t>
          </m:r>
          <m:d>
            <m:dPr>
              <m:begChr m:val="("/>
              <m:sepChr m:val=""/>
              <m:endChr m:val=")"/>
              <m:grow/>
            </m:dPr>
            <m:e>
              <m:r>
                <m:t>11</m:t>
              </m:r>
            </m:e>
          </m:d>
        </m:oMath>
      </m:oMathPara>
      <w:bookmarkEnd w:id="51"/>
    </w:p>
    <w:p>
      <w:pPr>
        <w:pStyle w:val="FirstParagraph"/>
      </w:pPr>
      <w:r>
        <w:t xml:space="preserve">The</w:t>
      </w:r>
      <w:r>
        <w:t xml:space="preserve"> </w:t>
      </w:r>
      <w:r>
        <w:rPr>
          <w:b/>
          <w:bCs/>
        </w:rPr>
        <w:t xml:space="preserve">standard deviation</w:t>
      </w:r>
      <w:r>
        <w:t xml:space="preserve"> </w:t>
      </w:r>
      <w:r>
        <w:t xml:space="preserve">is the square root of the variance:</w:t>
      </w:r>
    </w:p>
    <w:p>
      <w:pPr>
        <w:pStyle w:val="BodyText"/>
      </w:pPr>
      <w:bookmarkStart w:id="52" w:name="eq-stdev"/>
      <m:oMathPara>
        <m:oMathParaPr>
          <m:jc m:val="center"/>
        </m:oMathParaPr>
        <m:oMath>
          <m:r>
            <m:t>S</m:t>
          </m:r>
          <m:r>
            <m:t>D</m:t>
          </m:r>
          <m:d>
            <m:dPr>
              <m:begChr m:val="("/>
              <m:sepChr m:val=""/>
              <m:endChr m:val=")"/>
              <m:grow/>
            </m:dPr>
            <m:e>
              <m:r>
                <m:t>r</m:t>
              </m:r>
            </m:e>
          </m:d>
          <m:r>
            <m:rPr>
              <m:sty m:val="p"/>
            </m:rPr>
            <m:t>≡</m:t>
          </m:r>
          <m:r>
            <m:t>σ</m:t>
          </m:r>
          <m:r>
            <m:rPr>
              <m:sty m:val="p"/>
            </m:rPr>
            <m:t>=</m:t>
          </m:r>
          <m:rad>
            <m:radPr>
              <m:degHide m:val="on"/>
            </m:radPr>
            <m:deg/>
            <m:e>
              <m:r>
                <m:rPr>
                  <m:nor/>
                  <m:sty m:val="p"/>
                </m:rPr>
                <m:t>Var</m:t>
              </m:r>
              <m:d>
                <m:dPr>
                  <m:begChr m:val="("/>
                  <m:sepChr m:val=""/>
                  <m:endChr m:val=")"/>
                  <m:grow/>
                </m:dPr>
                <m:e>
                  <m:r>
                    <m:t>r</m:t>
                  </m:r>
                </m:e>
              </m:d>
            </m:e>
          </m:rad>
          <m:r>
            <m:t>  </m:t>
          </m:r>
          <m:d>
            <m:dPr>
              <m:begChr m:val="("/>
              <m:sepChr m:val=""/>
              <m:endChr m:val=")"/>
              <m:grow/>
            </m:dPr>
            <m:e>
              <m:r>
                <m:t>12</m:t>
              </m:r>
            </m:e>
          </m:d>
        </m:oMath>
      </m:oMathPara>
      <w:bookmarkEnd w:id="52"/>
    </w:p>
    <w:p>
      <w:pPr>
        <w:pStyle w:val="FirstParagraph"/>
      </w:pPr>
      <w:r>
        <w:rPr>
          <w:b/>
          <w:bCs/>
        </w:rPr>
        <w:t xml:space="preserve">Example 5.4 — Variance and Standard Deviation:</w:t>
      </w:r>
    </w:p>
    <w:p>
      <w:pPr>
        <w:pStyle w:val="BodyText"/>
      </w:pPr>
      <m:oMathPara>
        <m:oMathParaPr>
          <m:jc m:val="center"/>
        </m:oMathParaPr>
        <m:oMath>
          <m:sSup>
            <m:e>
              <m:r>
                <m:t>σ</m:t>
              </m:r>
            </m:e>
            <m:sup>
              <m:r>
                <m:t>2</m:t>
              </m:r>
            </m:sup>
          </m:sSup>
          <m:r>
            <m:rPr>
              <m:sty m:val="p"/>
            </m:rPr>
            <m:t>=</m:t>
          </m:r>
          <m:r>
            <m:t>0.05</m:t>
          </m:r>
          <m:sSup>
            <m:e>
              <m:d>
                <m:dPr>
                  <m:begChr m:val="("/>
                  <m:sepChr m:val=""/>
                  <m:endChr m:val=")"/>
                  <m:grow/>
                </m:dPr>
                <m:e>
                  <m:r>
                    <m:rPr>
                      <m:sty m:val="p"/>
                    </m:rPr>
                    <m:t>−</m:t>
                  </m:r>
                  <m:r>
                    <m:t>37</m:t>
                  </m:r>
                  <m:r>
                    <m:rPr>
                      <m:sty m:val="p"/>
                    </m:rPr>
                    <m:t>−</m:t>
                  </m:r>
                  <m:r>
                    <m:t>10</m:t>
                  </m:r>
                </m:e>
              </m:d>
            </m:e>
            <m:sup>
              <m:r>
                <m:t>2</m:t>
              </m:r>
            </m:sup>
          </m:sSup>
          <m:r>
            <m:rPr>
              <m:sty m:val="p"/>
            </m:rPr>
            <m:t>+</m:t>
          </m:r>
          <m:r>
            <m:t>0.25</m:t>
          </m:r>
          <m:sSup>
            <m:e>
              <m:d>
                <m:dPr>
                  <m:begChr m:val="("/>
                  <m:sepChr m:val=""/>
                  <m:endChr m:val=")"/>
                  <m:grow/>
                </m:dPr>
                <m:e>
                  <m:r>
                    <m:rPr>
                      <m:sty m:val="p"/>
                    </m:rPr>
                    <m:t>−</m:t>
                  </m:r>
                  <m:r>
                    <m:t>11</m:t>
                  </m:r>
                  <m:r>
                    <m:rPr>
                      <m:sty m:val="p"/>
                    </m:rPr>
                    <m:t>−</m:t>
                  </m:r>
                  <m:r>
                    <m:t>10</m:t>
                  </m:r>
                </m:e>
              </m:d>
            </m:e>
            <m:sup>
              <m:r>
                <m:t>2</m:t>
              </m:r>
            </m:sup>
          </m:sSup>
          <m:r>
            <m:rPr>
              <m:sty m:val="p"/>
            </m:rPr>
            <m:t>+</m:t>
          </m:r>
          <m:r>
            <m:t>0.40</m:t>
          </m:r>
          <m:sSup>
            <m:e>
              <m:d>
                <m:dPr>
                  <m:begChr m:val="("/>
                  <m:sepChr m:val=""/>
                  <m:endChr m:val=")"/>
                  <m:grow/>
                </m:dPr>
                <m:e>
                  <m:r>
                    <m:t>14</m:t>
                  </m:r>
                  <m:r>
                    <m:rPr>
                      <m:sty m:val="p"/>
                    </m:rPr>
                    <m:t>−</m:t>
                  </m:r>
                  <m:r>
                    <m:t>10</m:t>
                  </m:r>
                </m:e>
              </m:d>
            </m:e>
            <m:sup>
              <m:r>
                <m:t>2</m:t>
              </m:r>
            </m:sup>
          </m:sSup>
          <m:r>
            <m:rPr>
              <m:sty m:val="p"/>
            </m:rPr>
            <m:t>+</m:t>
          </m:r>
          <m:r>
            <m:t>0.30</m:t>
          </m:r>
          <m:sSup>
            <m:e>
              <m:d>
                <m:dPr>
                  <m:begChr m:val="("/>
                  <m:sepChr m:val=""/>
                  <m:endChr m:val=")"/>
                  <m:grow/>
                </m:dPr>
                <m:e>
                  <m:r>
                    <m:t>30</m:t>
                  </m:r>
                  <m:r>
                    <m:rPr>
                      <m:sty m:val="p"/>
                    </m:rPr>
                    <m:t>−</m:t>
                  </m:r>
                  <m:r>
                    <m:t>10</m:t>
                  </m:r>
                </m:e>
              </m:d>
            </m:e>
            <m:sup>
              <m:r>
                <m:t>2</m:t>
              </m:r>
            </m:sup>
          </m:sSup>
          <m:r>
            <m:rPr>
              <m:sty m:val="p"/>
            </m:rPr>
            <m:t>=</m:t>
          </m:r>
          <m:r>
            <m:t>347.10</m:t>
          </m:r>
        </m:oMath>
      </m:oMathPara>
    </w:p>
    <w:p>
      <w:pPr>
        <w:pStyle w:val="FirstParagraph"/>
      </w:pPr>
      <m:oMathPara>
        <m:oMathParaPr>
          <m:jc m:val="center"/>
        </m:oMathParaPr>
        <m:oMath>
          <m:r>
            <m:t>σ</m:t>
          </m:r>
          <m:r>
            <m:rPr>
              <m:sty m:val="p"/>
            </m:rPr>
            <m:t>=</m:t>
          </m:r>
          <m:rad>
            <m:radPr>
              <m:degHide m:val="on"/>
            </m:radPr>
            <m:deg/>
            <m:e>
              <m:r>
                <m:t>347.10</m:t>
              </m:r>
            </m:e>
          </m:rad>
          <m:r>
            <m:rPr>
              <m:sty m:val="p"/>
            </m:rPr>
            <m:t>=</m:t>
          </m:r>
          <m:r>
            <m:t>18.63</m:t>
          </m:r>
          <m:r>
            <m:rPr>
              <m:sty m:val="p"/>
            </m:rPr>
            <m:t>%</m:t>
          </m:r>
        </m:oMath>
      </m:oMathPara>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quarto/share/formats/docx/tip.png" id="54"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5.3</w:t>
            </w:r>
          </w:p>
        </w:tc>
      </w:tr>
      <w:tr>
        <w:trPr>
          <w:cantSplit/>
        </w:trPr>
        <w:tc>
          <w:tcPr>
            <w:tcMar>
              <w:top w:w="108" w:type="dxa"/>
              <w:bottom w:w="108" w:type="dxa"/>
            </w:tcMar>
          </w:tcPr>
          <w:p>
            <w:pPr>
              <w:pStyle w:val="BodyText"/>
            </w:pPr>
            <w:pPr>
              <w:spacing w:before="16"/>
            </w:pPr>
            <w:r>
              <w:t xml:space="preserve">The current value of a stock portfolio is $23 million. The following spreadsheet lays out next year’s dividend and portfolio value in each of four possible economic scenarios. What is the portfolio’s holding-period return in each scenario? Calculate both its expected holding-period return and standard deviation.</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Business conditions</w:t>
                  </w:r>
                </w:p>
              </w:tc>
              <w:tc>
                <w:tcPr/>
                <w:p>
                  <w:pPr>
                    <w:pStyle w:val="Compact"/>
                    <w:jc w:val="center"/>
                  </w:pPr>
                  <w:r>
                    <w:t xml:space="preserve">Scenario, s</w:t>
                  </w:r>
                </w:p>
              </w:tc>
              <w:tc>
                <w:tcPr/>
                <w:p>
                  <w:pPr>
                    <w:pStyle w:val="Compact"/>
                    <w:jc w:val="center"/>
                  </w:pPr>
                  <w:r>
                    <w:t xml:space="preserve">Probability, p</w:t>
                  </w:r>
                </w:p>
              </w:tc>
              <w:tc>
                <w:tcPr/>
                <w:p>
                  <w:pPr>
                    <w:pStyle w:val="Compact"/>
                    <w:jc w:val="center"/>
                  </w:pPr>
                  <w:r>
                    <w:t xml:space="preserve">End-of-year value ($ million)</w:t>
                  </w:r>
                </w:p>
              </w:tc>
              <w:tc>
                <w:tcPr/>
                <w:p>
                  <w:pPr>
                    <w:pStyle w:val="Compact"/>
                    <w:jc w:val="center"/>
                  </w:pPr>
                  <w:r>
                    <w:t xml:space="preserve">Annual dividend ($ million)</w:t>
                  </w:r>
                </w:p>
              </w:tc>
            </w:tr>
            <w:tr>
              <w:tc>
                <w:tcPr/>
                <w:p>
                  <w:pPr>
                    <w:pStyle w:val="Compact"/>
                    <w:jc w:val="left"/>
                  </w:pPr>
                  <w:r>
                    <w:t xml:space="preserve">High growth</w:t>
                  </w:r>
                </w:p>
              </w:tc>
              <w:tc>
                <w:tcPr/>
                <w:p>
                  <w:pPr>
                    <w:pStyle w:val="Compact"/>
                    <w:jc w:val="center"/>
                  </w:pPr>
                  <w:r>
                    <w:t xml:space="preserve">1</w:t>
                  </w:r>
                </w:p>
              </w:tc>
              <w:tc>
                <w:tcPr/>
                <w:p>
                  <w:pPr>
                    <w:pStyle w:val="Compact"/>
                    <w:jc w:val="center"/>
                  </w:pPr>
                  <w:r>
                    <w:t xml:space="preserve">0.30</w:t>
                  </w:r>
                </w:p>
              </w:tc>
              <w:tc>
                <w:tcPr/>
                <w:p>
                  <w:pPr>
                    <w:pStyle w:val="Compact"/>
                    <w:jc w:val="center"/>
                  </w:pPr>
                  <w:r>
                    <w:t xml:space="preserve">35</w:t>
                  </w:r>
                </w:p>
              </w:tc>
              <w:tc>
                <w:tcPr/>
                <w:p>
                  <w:pPr>
                    <w:pStyle w:val="Compact"/>
                    <w:jc w:val="center"/>
                  </w:pPr>
                  <w:r>
                    <w:t xml:space="preserve">4.40</w:t>
                  </w:r>
                </w:p>
              </w:tc>
            </w:tr>
            <w:tr>
              <w:tc>
                <w:tcPr/>
                <w:p>
                  <w:pPr>
                    <w:pStyle w:val="Compact"/>
                    <w:jc w:val="left"/>
                  </w:pPr>
                  <w:r>
                    <w:t xml:space="preserve">Normal growth</w:t>
                  </w:r>
                </w:p>
              </w:tc>
              <w:tc>
                <w:tcPr/>
                <w:p>
                  <w:pPr>
                    <w:pStyle w:val="Compact"/>
                    <w:jc w:val="center"/>
                  </w:pPr>
                  <w:r>
                    <w:t xml:space="preserve">2</w:t>
                  </w:r>
                </w:p>
              </w:tc>
              <w:tc>
                <w:tcPr/>
                <w:p>
                  <w:pPr>
                    <w:pStyle w:val="Compact"/>
                    <w:jc w:val="center"/>
                  </w:pPr>
                  <w:r>
                    <w:t xml:space="preserve">0.45</w:t>
                  </w:r>
                </w:p>
              </w:tc>
              <w:tc>
                <w:tcPr/>
                <w:p>
                  <w:pPr>
                    <w:pStyle w:val="Compact"/>
                    <w:jc w:val="center"/>
                  </w:pPr>
                  <w:r>
                    <w:t xml:space="preserve">27</w:t>
                  </w:r>
                </w:p>
              </w:tc>
              <w:tc>
                <w:tcPr/>
                <w:p>
                  <w:pPr>
                    <w:pStyle w:val="Compact"/>
                    <w:jc w:val="center"/>
                  </w:pPr>
                  <w:r>
                    <w:t xml:space="preserve">4.00</w:t>
                  </w:r>
                </w:p>
              </w:tc>
            </w:tr>
            <w:tr>
              <w:tc>
                <w:tcPr/>
                <w:p>
                  <w:pPr>
                    <w:pStyle w:val="Compact"/>
                    <w:jc w:val="left"/>
                  </w:pPr>
                  <w:r>
                    <w:t xml:space="preserve">No growth</w:t>
                  </w:r>
                </w:p>
              </w:tc>
              <w:tc>
                <w:tcPr/>
                <w:p>
                  <w:pPr>
                    <w:pStyle w:val="Compact"/>
                    <w:jc w:val="center"/>
                  </w:pPr>
                  <w:r>
                    <w:t xml:space="preserve">3</w:t>
                  </w:r>
                </w:p>
              </w:tc>
              <w:tc>
                <w:tcPr/>
                <w:p>
                  <w:pPr>
                    <w:pStyle w:val="Compact"/>
                    <w:jc w:val="center"/>
                  </w:pPr>
                  <w:r>
                    <w:t xml:space="preserve">0.20</w:t>
                  </w:r>
                </w:p>
              </w:tc>
              <w:tc>
                <w:tcPr/>
                <w:p>
                  <w:pPr>
                    <w:pStyle w:val="Compact"/>
                    <w:jc w:val="center"/>
                  </w:pPr>
                  <w:r>
                    <w:t xml:space="preserve">15</w:t>
                  </w:r>
                </w:p>
              </w:tc>
              <w:tc>
                <w:tcPr/>
                <w:p>
                  <w:pPr>
                    <w:pStyle w:val="Compact"/>
                    <w:jc w:val="center"/>
                  </w:pPr>
                  <w:r>
                    <w:t xml:space="preserve">4.00</w:t>
                  </w:r>
                </w:p>
              </w:tc>
            </w:tr>
            <w:tr>
              <w:tc>
                <w:tcPr/>
                <w:p>
                  <w:pPr>
                    <w:pStyle w:val="Compact"/>
                    <w:jc w:val="left"/>
                  </w:pPr>
                  <w:r>
                    <w:t xml:space="preserve">Recession</w:t>
                  </w:r>
                </w:p>
              </w:tc>
              <w:tc>
                <w:tcPr/>
                <w:p>
                  <w:pPr>
                    <w:pStyle w:val="Compact"/>
                    <w:jc w:val="center"/>
                  </w:pPr>
                  <w:r>
                    <w:t xml:space="preserve">4</w:t>
                  </w:r>
                </w:p>
              </w:tc>
              <w:tc>
                <w:tcPr/>
                <w:p>
                  <w:pPr>
                    <w:pStyle w:val="Compact"/>
                    <w:jc w:val="center"/>
                  </w:pPr>
                  <w:r>
                    <w:t xml:space="preserve">0.05</w:t>
                  </w:r>
                </w:p>
              </w:tc>
              <w:tc>
                <w:tcPr/>
                <w:p>
                  <w:pPr>
                    <w:pStyle w:val="Compact"/>
                    <w:jc w:val="center"/>
                  </w:pPr>
                  <w:r>
                    <w:t xml:space="preserve">8</w:t>
                  </w:r>
                </w:p>
              </w:tc>
              <w:tc>
                <w:tcPr/>
                <w:p>
                  <w:pPr>
                    <w:pStyle w:val="Compact"/>
                    <w:jc w:val="center"/>
                  </w:pPr>
                  <w:r>
                    <w:t xml:space="preserve">2.00</w:t>
                  </w:r>
                </w:p>
              </w:tc>
            </w:tr>
          </w:tbl>
          <w:p/>
        </w:tc>
      </w:tr>
    </w:tbl>
    <w:bookmarkEnd w:id="55"/>
    <w:bookmarkStart w:id="61" w:name="the-normal-distribution"/>
    <w:p>
      <w:pPr>
        <w:pStyle w:val="Heading3"/>
      </w:pPr>
      <w:r>
        <w:t xml:space="preserve">5.3.2 The Normal Distribution</w:t>
      </w:r>
    </w:p>
    <w:p>
      <w:pPr>
        <w:pStyle w:val="FirstParagraph"/>
      </w:pPr>
      <w:r>
        <w:t xml:space="preserve">The</w:t>
      </w:r>
      <w:r>
        <w:t xml:space="preserve"> </w:t>
      </w:r>
      <w:r>
        <w:rPr>
          <w:b/>
          <w:bCs/>
        </w:rPr>
        <w:t xml:space="preserve">normal distribution</w:t>
      </w:r>
      <w:r>
        <w:t xml:space="preserve"> </w:t>
      </w:r>
      <w:r>
        <w:t xml:space="preserve">is central to the theory and practice of investments. Its plot is symmetric, with identical values for all three standard measures of</w:t>
      </w:r>
      <w:r>
        <w:t xml:space="preserve"> </w:t>
      </w:r>
      <w:r>
        <w:t xml:space="preserve">“typical”</w:t>
      </w:r>
      <w:r>
        <w:t xml:space="preserve"> </w:t>
      </w:r>
      <w:r>
        <w:t xml:space="preserve">results: the mean, the median, and the mode.</w:t>
      </w:r>
    </w:p>
    <w:p>
      <w:pPr>
        <w:pStyle w:val="BodyText"/>
      </w:pPr>
      <w:r>
        <w:t xml:space="preserve">When returns are normally distributed, roughly two-thirds (68.26%) of the observations fall within one standard deviation of the mean. 95.44% of the observations are expected to lie within two standard deviations. Only 2.6 out of 1,000 observations are expected to deviate from the mean by three or more standard deviations.</w:t>
      </w:r>
    </w:p>
    <w:p>
      <w:pPr>
        <w:pStyle w:val="CaptionedFigure"/>
      </w:pPr>
      <w:r>
        <w:drawing>
          <wp:inline>
            <wp:extent cx="5334000" cy="3535325"/>
            <wp:effectExtent b="0" l="0" r="0" t="0"/>
            <wp:docPr descr="Figure 5.3 — The normal distribution with mean return 10% and standard deviation 20%" title="" id="57" name="Picture"/>
            <a:graphic>
              <a:graphicData uri="http://schemas.openxmlformats.org/drawingml/2006/picture">
                <pic:pic>
                  <pic:nvPicPr>
                    <pic:cNvPr descr="../assets/images/Ch05/Figure_5_3_Normal_Distribution.png" id="58" name="Picture"/>
                    <pic:cNvPicPr>
                      <a:picLocks noChangeArrowheads="1" noChangeAspect="1"/>
                    </pic:cNvPicPr>
                  </pic:nvPicPr>
                  <pic:blipFill>
                    <a:blip r:embed="rId56"/>
                    <a:stretch>
                      <a:fillRect/>
                    </a:stretch>
                  </pic:blipFill>
                  <pic:spPr bwMode="auto">
                    <a:xfrm>
                      <a:off x="0" y="0"/>
                      <a:ext cx="5334000" cy="3535325"/>
                    </a:xfrm>
                    <a:prstGeom prst="rect">
                      <a:avLst/>
                    </a:prstGeom>
                    <a:noFill/>
                    <a:ln w="9525">
                      <a:noFill/>
                      <a:headEnd/>
                      <a:tailEnd/>
                    </a:ln>
                  </pic:spPr>
                </pic:pic>
              </a:graphicData>
            </a:graphic>
          </wp:inline>
        </w:drawing>
      </w:r>
    </w:p>
    <w:p>
      <w:pPr>
        <w:pStyle w:val="ImageCaption"/>
      </w:pPr>
      <w:r>
        <w:t xml:space="preserve">Figure 5.3 — The normal distribution with mean return 10% and standard deviation 20%</w:t>
      </w:r>
    </w:p>
    <w:p>
      <w:pPr>
        <w:pStyle w:val="BodyText"/>
      </w:pPr>
      <w:r>
        <w:rPr>
          <w:b/>
          <w:bCs/>
        </w:rPr>
        <w:t xml:space="preserve">Example 5.5 — Normal Distribution in Excel:</w:t>
      </w:r>
      <w:r>
        <w:t xml:space="preserve"> </w:t>
      </w:r>
      <w:r>
        <w:t xml:space="preserve">Suppose the monthly rate of return on the S&amp;P 500 is approximately normally distributed with a mean of 1% and standard deviation of 6%. The probability that the return on the index in any month will be negative is: NORM.DIST(0, 1, 6, TRUE) = 0.4338, or about 43.38%.</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quarto/share/formats/docx/tip.png" id="60"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5.4</w:t>
            </w:r>
          </w:p>
        </w:tc>
      </w:tr>
      <w:tr>
        <w:trPr>
          <w:cantSplit/>
        </w:trPr>
        <w:tc>
          <w:tcPr>
            <w:tcMar>
              <w:top w:w="108" w:type="dxa"/>
              <w:bottom w:w="108" w:type="dxa"/>
            </w:tcMar>
          </w:tcPr>
          <w:p>
            <w:pPr>
              <w:pStyle w:val="BodyText"/>
            </w:pPr>
            <w:pPr>
              <w:spacing w:before="16" w:after="16"/>
            </w:pPr>
            <w:r>
              <w:t xml:space="preserve">What is the probability that the monthly return on a stock with a mean return of 1% per month and standard deviation of 3% per month will be less than −5%? What if the standard deviation is 5% per month?</w:t>
            </w:r>
          </w:p>
          <w:p/>
        </w:tc>
      </w:tr>
    </w:tbl>
    <w:bookmarkEnd w:id="61"/>
    <w:bookmarkStart w:id="62" w:name="normality-and-the-investment-horizon"/>
    <w:p>
      <w:pPr>
        <w:pStyle w:val="Heading3"/>
      </w:pPr>
      <w:r>
        <w:t xml:space="preserve">5.3.3 Normality and the Investment Horizon</w:t>
      </w:r>
    </w:p>
    <w:p>
      <w:pPr>
        <w:pStyle w:val="FirstParagraph"/>
      </w:pPr>
      <w:r>
        <w:t xml:space="preserve">Portfolios of normally distributed assets are also normally distributed, which greatly simplifies analysis of risk. When returns over very short time periods (e.g., an hour or even a day) are normally distributed, then HPRs for holding periods as long as a month will be</w:t>
      </w:r>
      <w:r>
        <w:t xml:space="preserve"> </w:t>
      </w:r>
      <w:r>
        <w:rPr>
          <w:i/>
          <w:iCs/>
        </w:rPr>
        <w:t xml:space="preserve">nearly</w:t>
      </w:r>
      <w:r>
        <w:t xml:space="preserve"> </w:t>
      </w:r>
      <w:r>
        <w:t xml:space="preserve">normal and can be treated as if they are normal.</w:t>
      </w:r>
    </w:p>
    <w:p>
      <w:pPr>
        <w:pStyle w:val="BodyText"/>
      </w:pPr>
      <w:r>
        <w:t xml:space="preserve">The practical implication is this: use continuously compounded rates when normality plays a crucial role.</w:t>
      </w:r>
    </w:p>
    <w:bookmarkEnd w:id="62"/>
    <w:bookmarkStart w:id="66" w:name="deviation-from-normality-and-tail-risk"/>
    <w:p>
      <w:pPr>
        <w:pStyle w:val="Heading3"/>
      </w:pPr>
      <w:r>
        <w:t xml:space="preserve">5.3.4 Deviation from Normality and Tail Risk</w:t>
      </w:r>
    </w:p>
    <w:p>
      <w:pPr>
        <w:pStyle w:val="FirstParagraph"/>
      </w:pPr>
      <w:r>
        <w:rPr>
          <w:b/>
          <w:bCs/>
        </w:rPr>
        <w:t xml:space="preserve">Value at risk (VaR)</w:t>
      </w:r>
      <w:r>
        <w:t xml:space="preserve"> </w:t>
      </w:r>
      <w:r>
        <w:t xml:space="preserve">is a measure of downside risk — the worst loss that will be suffered with a given probability, often 1% or 5%. For normally distributed returns, the 5% VaR can be calculated as:</w:t>
      </w:r>
    </w:p>
    <w:p>
      <w:pPr>
        <w:pStyle w:val="BodyText"/>
      </w:pPr>
      <w:bookmarkStart w:id="63" w:name="eq-var"/>
      <m:oMathPara>
        <m:oMathParaPr>
          <m:jc m:val="center"/>
        </m:oMathParaPr>
        <m:oMath>
          <m:r>
            <m:t>V</m:t>
          </m:r>
          <m:r>
            <m:t>a</m:t>
          </m:r>
          <m:r>
            <m:t>R</m:t>
          </m:r>
          <m:d>
            <m:dPr>
              <m:begChr m:val="("/>
              <m:sepChr m:val=""/>
              <m:endChr m:val=")"/>
              <m:grow/>
            </m:dPr>
            <m:e>
              <m:r>
                <m:t>5</m:t>
              </m:r>
              <m:r>
                <m:rPr>
                  <m:sty m:val="p"/>
                </m:rPr>
                <m:t>%</m:t>
              </m:r>
            </m:e>
          </m:d>
          <m:r>
            <m:rPr>
              <m:sty m:val="p"/>
            </m:rPr>
            <m:t>=</m:t>
          </m:r>
          <m:r>
            <m:t>E</m:t>
          </m:r>
          <m:d>
            <m:dPr>
              <m:begChr m:val="("/>
              <m:sepChr m:val=""/>
              <m:endChr m:val=")"/>
              <m:grow/>
            </m:dPr>
            <m:e>
              <m:r>
                <m:t>r</m:t>
              </m:r>
            </m:e>
          </m:d>
          <m:r>
            <m:rPr>
              <m:sty m:val="p"/>
            </m:rPr>
            <m:t>+</m:t>
          </m:r>
          <m:d>
            <m:dPr>
              <m:begChr m:val="("/>
              <m:sepChr m:val=""/>
              <m:endChr m:val=")"/>
              <m:grow/>
            </m:dPr>
            <m:e>
              <m:r>
                <m:rPr>
                  <m:sty m:val="p"/>
                </m:rPr>
                <m:t>−</m:t>
              </m:r>
              <m:r>
                <m:t>1.64485</m:t>
              </m:r>
            </m:e>
          </m:d>
          <m:r>
            <m:t>σ</m:t>
          </m:r>
          <m:r>
            <m:t>  </m:t>
          </m:r>
          <m:d>
            <m:dPr>
              <m:begChr m:val="("/>
              <m:sepChr m:val=""/>
              <m:endChr m:val=")"/>
              <m:grow/>
            </m:dPr>
            <m:e>
              <m:r>
                <m:t>13</m:t>
              </m:r>
            </m:e>
          </m:d>
        </m:oMath>
      </m:oMathPara>
      <w:bookmarkEnd w:id="63"/>
    </w:p>
    <w:p>
      <w:pPr>
        <w:pStyle w:val="FirstParagraph"/>
      </w:pPr>
      <w:r>
        <w:t xml:space="preserve">Three additional statistics indicate whether a portfolio’s probability distribution differs significantly from normality:</w:t>
      </w:r>
    </w:p>
    <w:p>
      <w:pPr>
        <w:numPr>
          <w:ilvl w:val="0"/>
          <w:numId w:val="1002"/>
        </w:numPr>
      </w:pPr>
      <w:r>
        <w:rPr>
          <w:b/>
          <w:bCs/>
        </w:rPr>
        <w:t xml:space="preserve">Kurtosis</w:t>
      </w:r>
      <w:r>
        <w:t xml:space="preserve"> </w:t>
      </w:r>
      <w:r>
        <w:t xml:space="preserve">compares the frequency of extreme values to that of the normal distribution. Positive kurtosis indicates</w:t>
      </w:r>
      <w:r>
        <w:t xml:space="preserve"> </w:t>
      </w:r>
      <w:r>
        <w:t xml:space="preserve">“fat tails”</w:t>
      </w:r>
      <w:r>
        <w:t xml:space="preserve"> </w:t>
      </w:r>
      <w:r>
        <w:t xml:space="preserve">— a higher likelihood of extreme outcomes.</w:t>
      </w:r>
    </w:p>
    <w:p>
      <w:pPr>
        <w:numPr>
          <w:ilvl w:val="0"/>
          <w:numId w:val="1002"/>
        </w:numPr>
      </w:pPr>
      <w:r>
        <w:rPr>
          <w:b/>
          <w:bCs/>
        </w:rPr>
        <w:t xml:space="preserve">Skew</w:t>
      </w:r>
      <w:r>
        <w:t xml:space="preserve"> </w:t>
      </w:r>
      <w:r>
        <w:t xml:space="preserve">measures the asymmetry of the distribution. Negative values of skew indicate that extreme bad outcomes are more frequent than extreme positive ones.</w:t>
      </w:r>
    </w:p>
    <w:p>
      <w:pPr>
        <w:numPr>
          <w:ilvl w:val="0"/>
          <w:numId w:val="1002"/>
        </w:numPr>
      </w:pPr>
      <w:r>
        <w:t xml:space="preserve">Extreme returns are often called</w:t>
      </w:r>
      <w:r>
        <w:t xml:space="preserve"> </w:t>
      </w:r>
      <w:r>
        <w:rPr>
          <w:b/>
          <w:bCs/>
        </w:rPr>
        <w:t xml:space="preserve">jumps</w:t>
      </w:r>
      <w:r>
        <w:t xml:space="preserve">, as the stock price makes a big sudden movement.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Applications/quarto/share/formats/docx/tip.png" id="6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5.5</w:t>
            </w:r>
          </w:p>
        </w:tc>
      </w:tr>
      <w:tr>
        <w:trPr>
          <w:cantSplit/>
        </w:trPr>
        <w:tc>
          <w:tcPr>
            <w:tcMar>
              <w:top w:w="108" w:type="dxa"/>
              <w:bottom w:w="108" w:type="dxa"/>
            </w:tcMar>
          </w:tcPr>
          <w:p>
            <w:pPr>
              <w:numPr>
                <w:ilvl w:val="0"/>
                <w:numId w:val="1003"/>
              </w:numPr>
            </w:pPr>
            <w:r>
              <w:t xml:space="preserve">Return to Concept Check 5.3. What is the 5% VaR of the portfolio?</w:t>
            </w:r>
          </w:p>
          <w:p>
            <w:pPr>
              <w:numPr>
                <w:ilvl w:val="0"/>
                <w:numId w:val="1003"/>
              </w:numPr>
            </w:pPr>
            <w:r>
              <w:t xml:space="preserve">What is the VaR of a portfolio with normally distributed returns with the same mean and standard deviation as this portfolio?</w:t>
            </w:r>
          </w:p>
          <w:p/>
        </w:tc>
      </w:tr>
    </w:tbl>
    <w:bookmarkEnd w:id="66"/>
    <w:bookmarkStart w:id="68" w:name="risk-premiums-and-risk-aversion"/>
    <w:p>
      <w:pPr>
        <w:pStyle w:val="Heading3"/>
      </w:pPr>
      <w:r>
        <w:t xml:space="preserve">5.3.5 Risk Premiums and Risk Aversion</w:t>
      </w:r>
    </w:p>
    <w:p>
      <w:pPr>
        <w:pStyle w:val="FirstParagraph"/>
      </w:pPr>
      <w:r>
        <w:t xml:space="preserve">The</w:t>
      </w:r>
      <w:r>
        <w:t xml:space="preserve"> </w:t>
      </w:r>
      <w:r>
        <w:rPr>
          <w:b/>
          <w:bCs/>
        </w:rPr>
        <w:t xml:space="preserve">risk-free rate</w:t>
      </w:r>
      <w:r>
        <w:t xml:space="preserve"> </w:t>
      </w:r>
      <w:r>
        <w:t xml:space="preserve">is the rate of return that can be earned with certainty, often measured by the rate on Treasury bills. The</w:t>
      </w:r>
      <w:r>
        <w:t xml:space="preserve"> </w:t>
      </w:r>
      <w:r>
        <w:rPr>
          <w:b/>
          <w:bCs/>
        </w:rPr>
        <w:t xml:space="preserve">risk premium</w:t>
      </w:r>
      <w:r>
        <w:t xml:space="preserve"> </w:t>
      </w:r>
      <w:r>
        <w:t xml:space="preserve">is the expected return in excess of that on risk-free securities. The</w:t>
      </w:r>
      <w:r>
        <w:t xml:space="preserve"> </w:t>
      </w:r>
      <w:r>
        <w:rPr>
          <w:b/>
          <w:bCs/>
        </w:rPr>
        <w:t xml:space="preserve">excess return</w:t>
      </w:r>
      <w:r>
        <w:t xml:space="preserve"> </w:t>
      </w:r>
      <w:r>
        <w:t xml:space="preserve">is the rate of return in excess of the risk-free rate.</w:t>
      </w:r>
    </w:p>
    <w:p>
      <w:pPr>
        <w:pStyle w:val="BodyText"/>
      </w:pPr>
      <w:r>
        <w:rPr>
          <w:b/>
          <w:bCs/>
        </w:rPr>
        <w:t xml:space="preserve">Risk aversion</w:t>
      </w:r>
      <w:r>
        <w:t xml:space="preserve"> </w:t>
      </w:r>
      <w:r>
        <w:t xml:space="preserve">is the reluctance to accept risk. A positive risk premium distinguishes speculation from gambling. Investors taking on risk to earn a risk premium are speculating. Gambling is the assumption of risk for no purpose beyond the enjoyment of the risk itself.</w:t>
      </w:r>
    </w:p>
    <w:p>
      <w:pPr>
        <w:pStyle w:val="BodyText"/>
      </w:pPr>
      <w:r>
        <w:t xml:space="preserve">The</w:t>
      </w:r>
      <w:r>
        <w:t xml:space="preserve"> </w:t>
      </w:r>
      <w:r>
        <w:rPr>
          <w:b/>
          <w:bCs/>
        </w:rPr>
        <w:t xml:space="preserve">price of risk</w:t>
      </w:r>
      <w:r>
        <w:t xml:space="preserve"> </w:t>
      </w:r>
      <w:r>
        <w:t xml:space="preserve">is the ratio of a portfolio’s risk premium to its variance:</w:t>
      </w:r>
    </w:p>
    <w:p>
      <w:pPr>
        <w:pStyle w:val="BodyText"/>
      </w:pPr>
      <w:bookmarkStart w:id="67" w:name="eq-price-of-risk"/>
      <m:oMathPara>
        <m:oMathParaPr>
          <m:jc m:val="center"/>
        </m:oMathParaPr>
        <m:oMath>
          <m:r>
            <m:t>A</m:t>
          </m:r>
          <m:r>
            <m:rPr>
              <m:sty m:val="p"/>
            </m:rPr>
            <m:t>=</m:t>
          </m:r>
          <m:f>
            <m:fPr>
              <m:type m:val="bar"/>
            </m:fPr>
            <m:num>
              <m:r>
                <m:t>E</m:t>
              </m:r>
              <m:d>
                <m:dPr>
                  <m:begChr m:val="("/>
                  <m:sepChr m:val=""/>
                  <m:endChr m:val=")"/>
                  <m:grow/>
                </m:dPr>
                <m:e>
                  <m:sSub>
                    <m:e>
                      <m:r>
                        <m:t>r</m:t>
                      </m:r>
                    </m:e>
                    <m:sub>
                      <m:r>
                        <m:t>Q</m:t>
                      </m:r>
                    </m:sub>
                  </m:sSub>
                </m:e>
              </m:d>
              <m:r>
                <m:rPr>
                  <m:sty m:val="p"/>
                </m:rPr>
                <m:t>−</m:t>
              </m:r>
              <m:sSub>
                <m:e>
                  <m:r>
                    <m:t>r</m:t>
                  </m:r>
                </m:e>
                <m:sub>
                  <m:r>
                    <m:t>f</m:t>
                  </m:r>
                </m:sub>
              </m:sSub>
            </m:num>
            <m:den>
              <m:sSubSup>
                <m:e>
                  <m:r>
                    <m:t>σ</m:t>
                  </m:r>
                </m:e>
                <m:sub>
                  <m:r>
                    <m:t>Q</m:t>
                  </m:r>
                </m:sub>
                <m:sup>
                  <m:r>
                    <m:t>2</m:t>
                  </m:r>
                </m:sup>
              </m:sSubSup>
            </m:den>
          </m:f>
          <m:r>
            <m:t>  </m:t>
          </m:r>
          <m:d>
            <m:dPr>
              <m:begChr m:val="("/>
              <m:sepChr m:val=""/>
              <m:endChr m:val=")"/>
              <m:grow/>
            </m:dPr>
            <m:e>
              <m:r>
                <m:t>14</m:t>
              </m:r>
            </m:e>
          </m:d>
        </m:oMath>
      </m:oMathPara>
      <w:bookmarkEnd w:id="67"/>
    </w:p>
    <w:p>
      <w:pPr>
        <w:pStyle w:val="FirstParagraph"/>
      </w:pPr>
      <w:r>
        <w:t xml:space="preserve">For example, if we observe an investor whose entire wealth has been invested in portfolio</w:t>
      </w:r>
      <w:r>
        <w:t xml:space="preserve"> </w:t>
      </w:r>
      <m:oMath>
        <m:r>
          <m:t>Q</m:t>
        </m:r>
      </m:oMath>
      <w:r>
        <w:t xml:space="preserve"> </w:t>
      </w:r>
      <w:r>
        <w:t xml:space="preserve">with annual risk premium of 0.10 (10%) and variance of 0.0256 (SD = 0.16, or 16%), we would infer the degree of risk aversion as:</w:t>
      </w:r>
    </w:p>
    <w:p>
      <w:pPr>
        <w:pStyle w:val="BodyText"/>
      </w:pPr>
      <m:oMathPara>
        <m:oMathParaPr>
          <m:jc m:val="center"/>
        </m:oMathParaPr>
        <m:oMath>
          <m:r>
            <m:t>A</m:t>
          </m:r>
          <m:r>
            <m:rPr>
              <m:sty m:val="p"/>
            </m:rPr>
            <m:t>=</m:t>
          </m:r>
          <m:f>
            <m:fPr>
              <m:type m:val="bar"/>
            </m:fPr>
            <m:num>
              <m:r>
                <m:t>0.10</m:t>
              </m:r>
            </m:num>
            <m:den>
              <m:r>
                <m:t>0.0256</m:t>
              </m:r>
            </m:den>
          </m:f>
          <m:r>
            <m:rPr>
              <m:sty m:val="p"/>
            </m:rPr>
            <m:t>=</m:t>
          </m:r>
          <m:r>
            <m:t>3.91</m:t>
          </m:r>
        </m:oMath>
      </m:oMathPara>
    </w:p>
    <w:p>
      <w:pPr>
        <w:pStyle w:val="FirstParagraph"/>
      </w:pPr>
      <w:r>
        <w:t xml:space="preserve">Using historical S&amp;P 500 data, the average excess return on the market has been about 0.08, and variance has been nearly 0.04, implying average risk aversion of approximately:</w:t>
      </w:r>
    </w:p>
    <w:p>
      <w:pPr>
        <w:pStyle w:val="BodyText"/>
      </w:pPr>
      <m:oMathPara>
        <m:oMathParaPr>
          <m:jc m:val="center"/>
        </m:oMathParaPr>
        <m:oMath>
          <m:acc>
            <m:accPr>
              <m:chr m:val="‾"/>
            </m:accPr>
            <m:e>
              <m:r>
                <m:t>A</m:t>
              </m:r>
            </m:e>
          </m:acc>
          <m:r>
            <m:rPr>
              <m:sty m:val="p"/>
            </m:rPr>
            <m:t>=</m:t>
          </m:r>
          <m:f>
            <m:fPr>
              <m:type m:val="bar"/>
            </m:fPr>
            <m:num>
              <m:r>
                <m:t>0.08</m:t>
              </m:r>
            </m:num>
            <m:den>
              <m:r>
                <m:t>0.04</m:t>
              </m:r>
            </m:den>
          </m:f>
          <m:r>
            <m:rPr>
              <m:sty m:val="p"/>
            </m:rPr>
            <m:t>≈</m:t>
          </m:r>
          <m:r>
            <m:t>2</m:t>
          </m:r>
        </m:oMath>
      </m:oMathPara>
    </w:p>
    <w:p>
      <w:pPr>
        <w:pStyle w:val="FirstParagraph"/>
      </w:pPr>
      <w:r>
        <w:t xml:space="preserve">Conventional wisdom holds that plausible estimates for the value of</w:t>
      </w:r>
      <w:r>
        <w:t xml:space="preserve"> </w:t>
      </w:r>
      <m:oMath>
        <m:r>
          <m:t>A</m:t>
        </m:r>
      </m:oMath>
      <w:r>
        <w:t xml:space="preserve"> </w:t>
      </w:r>
      <w:r>
        <w:t xml:space="preserve">lie in the range of 1.5–4.</w:t>
      </w:r>
    </w:p>
    <w:bookmarkEnd w:id="68"/>
    <w:bookmarkStart w:id="72" w:name="the-sharpe-ratio"/>
    <w:p>
      <w:pPr>
        <w:pStyle w:val="Heading3"/>
      </w:pPr>
      <w:r>
        <w:t xml:space="preserve">5.3.6 The Sharpe Ratio</w:t>
      </w:r>
    </w:p>
    <w:p>
      <w:pPr>
        <w:pStyle w:val="FirstParagraph"/>
      </w:pPr>
      <w:r>
        <w:t xml:space="preserve">The</w:t>
      </w:r>
      <w:r>
        <w:t xml:space="preserve"> </w:t>
      </w:r>
      <w:r>
        <w:rPr>
          <w:b/>
          <w:bCs/>
        </w:rPr>
        <w:t xml:space="preserve">Sharpe ratio</w:t>
      </w:r>
      <w:r>
        <w:t xml:space="preserve"> </w:t>
      </w:r>
      <w:r>
        <w:t xml:space="preserve">(also called the reward-to-volatility ratio) is commonly used to rank portfolios in terms of their risk-return trade-off:</w:t>
      </w:r>
    </w:p>
    <w:p>
      <w:pPr>
        <w:pStyle w:val="BodyText"/>
      </w:pPr>
      <w:bookmarkStart w:id="69" w:name="eq-sharpe"/>
      <m:oMathPara>
        <m:oMathParaPr>
          <m:jc m:val="center"/>
        </m:oMathParaPr>
        <m:oMath>
          <m:r>
            <m:t>S</m:t>
          </m:r>
          <m:r>
            <m:rPr>
              <m:sty m:val="p"/>
            </m:rPr>
            <m:t>=</m:t>
          </m:r>
          <m:f>
            <m:fPr>
              <m:type m:val="bar"/>
            </m:fPr>
            <m:num>
              <m:r>
                <m:rPr>
                  <m:nor/>
                  <m:sty m:val="p"/>
                </m:rPr>
                <m:t>Portfolio risk premium</m:t>
              </m:r>
            </m:num>
            <m:den>
              <m:r>
                <m:rPr>
                  <m:nor/>
                  <m:sty m:val="p"/>
                </m:rPr>
                <m:t>Standard deviation of portfolio excess return</m:t>
              </m:r>
            </m:den>
          </m:f>
          <m:r>
            <m:rPr>
              <m:sty m:val="p"/>
            </m:rPr>
            <m:t>=</m:t>
          </m:r>
          <m:f>
            <m:fPr>
              <m:type m:val="bar"/>
            </m:fPr>
            <m:num>
              <m:r>
                <m:t>E</m:t>
              </m:r>
              <m:d>
                <m:dPr>
                  <m:begChr m:val="("/>
                  <m:sepChr m:val=""/>
                  <m:endChr m:val=")"/>
                  <m:grow/>
                </m:dPr>
                <m:e>
                  <m:sSub>
                    <m:e>
                      <m:r>
                        <m:t>r</m:t>
                      </m:r>
                    </m:e>
                    <m:sub>
                      <m:r>
                        <m:t>P</m:t>
                      </m:r>
                    </m:sub>
                  </m:sSub>
                </m:e>
              </m:d>
              <m:r>
                <m:rPr>
                  <m:sty m:val="p"/>
                </m:rPr>
                <m:t>−</m:t>
              </m:r>
              <m:sSub>
                <m:e>
                  <m:r>
                    <m:t>r</m:t>
                  </m:r>
                </m:e>
                <m:sub>
                  <m:r>
                    <m:t>f</m:t>
                  </m:r>
                </m:sub>
              </m:sSub>
            </m:num>
            <m:den>
              <m:sSub>
                <m:e>
                  <m:r>
                    <m:t>σ</m:t>
                  </m:r>
                </m:e>
                <m:sub>
                  <m:r>
                    <m:t>P</m:t>
                  </m:r>
                </m:sub>
              </m:sSub>
            </m:den>
          </m:f>
          <m:r>
            <m:t>  </m:t>
          </m:r>
          <m:d>
            <m:dPr>
              <m:begChr m:val="("/>
              <m:sepChr m:val=""/>
              <m:endChr m:val=")"/>
              <m:grow/>
            </m:dPr>
            <m:e>
              <m:r>
                <m:t>15</m:t>
              </m:r>
            </m:e>
          </m:d>
        </m:oMath>
      </m:oMathPara>
      <w:bookmarkEnd w:id="69"/>
    </w:p>
    <w:p>
      <w:pPr>
        <w:pStyle w:val="FirstParagraph"/>
      </w:pPr>
      <w:r>
        <w:t xml:space="preserve">A risk-free asset would have a risk premium of zero and a standard deviation of zero. A higher Sharpe ratio indicates a better reward per unit of standard deviation — a more efficient portfolio.</w:t>
      </w:r>
    </w:p>
    <w:p>
      <w:pPr>
        <w:pStyle w:val="BodyText"/>
      </w:pPr>
      <w:r>
        <w:rPr>
          <w:b/>
          <w:bCs/>
        </w:rPr>
        <w:t xml:space="preserve">Important warning:</w:t>
      </w:r>
      <w:r>
        <w:t xml:space="preserve"> </w:t>
      </w:r>
      <w:r>
        <w:t xml:space="preserve">The Sharpe ratio is a valid statistic only for ranking</w:t>
      </w:r>
      <w:r>
        <w:t xml:space="preserve"> </w:t>
      </w:r>
      <w:r>
        <w:rPr>
          <w:i/>
          <w:iCs/>
        </w:rPr>
        <w:t xml:space="preserve">portfolios</w:t>
      </w:r>
      <w:r>
        <w:t xml:space="preserve">; it is not appropriate for comparing individual assets.</w:t>
      </w:r>
    </w:p>
    <w:p>
      <w:pPr>
        <w:pStyle w:val="BodyText"/>
      </w:pPr>
      <w:r>
        <w:t xml:space="preserve">Portfolio analysis in terms of mean and standard deviation (or variance) of excess returns is called</w:t>
      </w:r>
      <w:r>
        <w:t xml:space="preserve"> </w:t>
      </w:r>
      <w:r>
        <w:rPr>
          <w:b/>
          <w:bCs/>
        </w:rPr>
        <w:t xml:space="preserve">mean-variance analysis</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Applications/quarto/share/formats/docx/tip.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5.6</w:t>
            </w:r>
          </w:p>
        </w:tc>
      </w:tr>
      <w:tr>
        <w:trPr>
          <w:cantSplit/>
        </w:trPr>
        <w:tc>
          <w:tcPr>
            <w:tcMar>
              <w:top w:w="108" w:type="dxa"/>
              <w:bottom w:w="108" w:type="dxa"/>
            </w:tcMar>
          </w:tcPr>
          <w:p>
            <w:pPr>
              <w:numPr>
                <w:ilvl w:val="0"/>
                <w:numId w:val="1004"/>
              </w:numPr>
            </w:pPr>
            <w:r>
              <w:t xml:space="preserve">Investors forecast that the return of the market index over the coming year will be 10%. The one-year T-bill rate is 5%. Examination of recent returns of the S&amp;P 500 Index suggests that the standard deviation of returns will be 18%. What does this information suggest about the degree of risk aversion of the average investor, assuming that the average portfolio resembles the market index?</w:t>
            </w:r>
          </w:p>
          <w:p>
            <w:pPr>
              <w:numPr>
                <w:ilvl w:val="0"/>
                <w:numId w:val="1004"/>
              </w:numPr>
            </w:pPr>
            <w:r>
              <w:t xml:space="preserve">What is the Sharpe ratio of the index portfolio in (a)?</w:t>
            </w:r>
          </w:p>
          <w:p/>
        </w:tc>
      </w:tr>
    </w:tbl>
    <w:p>
      <w:r>
        <w:pict>
          <v:rect style="width:0;height:1.5pt" o:hralign="center" o:hrstd="t" o:hr="t"/>
        </w:pict>
      </w:r>
    </w:p>
    <w:bookmarkEnd w:id="72"/>
    <w:bookmarkEnd w:id="73"/>
    <w:bookmarkStart w:id="86" w:name="the-historical-record"/>
    <w:p>
      <w:pPr>
        <w:pStyle w:val="Heading2"/>
      </w:pPr>
      <w:r>
        <w:t xml:space="preserve">5.4 The Historical Record</w:t>
      </w:r>
    </w:p>
    <w:bookmarkStart w:id="75" w:name="using-time-series-of-returns"/>
    <w:p>
      <w:pPr>
        <w:pStyle w:val="Heading3"/>
      </w:pPr>
      <w:r>
        <w:t xml:space="preserve">5.4.1 Using Time Series of Returns</w:t>
      </w:r>
    </w:p>
    <w:p>
      <w:pPr>
        <w:pStyle w:val="FirstParagraph"/>
      </w:pPr>
      <w:r>
        <w:t xml:space="preserve">Scenario analysis begins with a probability distribution of future returns, but where do the probabilities come from? They are in large part informed by historical experience. The estimates of variance and standard deviation from a time series of returns,</w:t>
      </w:r>
      <w:r>
        <w:t xml:space="preserve"> </w:t>
      </w:r>
      <m:oMath>
        <m:sSub>
          <m:e>
            <m:r>
              <m:t>r</m:t>
            </m:r>
          </m:e>
          <m:sub>
            <m:r>
              <m:t>t</m:t>
            </m:r>
          </m:sub>
        </m:sSub>
      </m:oMath>
      <w:r>
        <w:t xml:space="preserve">, are:</w:t>
      </w:r>
    </w:p>
    <w:p>
      <w:pPr>
        <w:pStyle w:val="BodyText"/>
      </w:pPr>
      <w:bookmarkStart w:id="74" w:name="eq-time-series"/>
      <m:oMathPara>
        <m:oMathParaPr>
          <m:jc m:val="center"/>
        </m:oMathParaPr>
        <m:oMath>
          <m:sSub>
            <m:e>
              <m:acc>
                <m:accPr>
                  <m:chr m:val="‾"/>
                </m:accPr>
                <m:e>
                  <m:r>
                    <m:t>r</m:t>
                  </m:r>
                </m:e>
              </m:acc>
            </m:e>
            <m:sub>
              <m:r>
                <m:t>t</m:t>
              </m:r>
            </m:sub>
          </m:sSub>
          <m:r>
            <m:rPr>
              <m:sty m:val="p"/>
            </m:rPr>
            <m:t>=</m:t>
          </m:r>
          <m:f>
            <m:fPr>
              <m:type m:val="bar"/>
            </m:fPr>
            <m:num>
              <m:r>
                <m:t>1</m:t>
              </m:r>
            </m:num>
            <m:den>
              <m:r>
                <m:t>n</m:t>
              </m:r>
            </m:den>
          </m:f>
          <m:r>
            <m:rPr>
              <m:sty m:val="p"/>
            </m:rPr>
            <m:t>∑</m:t>
          </m:r>
          <m:sSub>
            <m:e>
              <m:r>
                <m:t>r</m:t>
              </m:r>
            </m:e>
            <m:sub>
              <m:r>
                <m:t>t</m:t>
              </m:r>
            </m:sub>
          </m:sSub>
          <m:r>
            <m:rPr>
              <m:sty m:val="p"/>
            </m:rPr>
            <m:t>;</m:t>
          </m:r>
          <m:r>
            <m:t>  </m:t>
          </m:r>
          <m:r>
            <m:rPr>
              <m:nor/>
              <m:sty m:val="p"/>
            </m:rPr>
            <m:t>Var</m:t>
          </m:r>
          <m:d>
            <m:dPr>
              <m:begChr m:val="("/>
              <m:sepChr m:val=""/>
              <m:endChr m:val=")"/>
              <m:grow/>
            </m:dPr>
            <m:e>
              <m:sSub>
                <m:e>
                  <m:r>
                    <m:t>r</m:t>
                  </m:r>
                </m:e>
                <m:sub>
                  <m:r>
                    <m:t>t</m:t>
                  </m:r>
                </m:sub>
              </m:sSub>
            </m:e>
          </m:d>
          <m:r>
            <m:rPr>
              <m:sty m:val="p"/>
            </m:rPr>
            <m:t>=</m:t>
          </m:r>
          <m:f>
            <m:fPr>
              <m:type m:val="bar"/>
            </m:fPr>
            <m:num>
              <m:r>
                <m:t>1</m:t>
              </m:r>
            </m:num>
            <m:den>
              <m:r>
                <m:t>n</m:t>
              </m:r>
              <m:r>
                <m:rPr>
                  <m:sty m:val="p"/>
                </m:rPr>
                <m:t>−</m:t>
              </m:r>
              <m:r>
                <m:t>1</m:t>
              </m:r>
            </m:den>
          </m:f>
          <m:r>
            <m:rPr>
              <m:sty m:val="p"/>
            </m:rPr>
            <m:t>∑</m:t>
          </m:r>
          <m:sSup>
            <m:e>
              <m:d>
                <m:dPr>
                  <m:begChr m:val="("/>
                  <m:sepChr m:val=""/>
                  <m:endChr m:val=")"/>
                  <m:grow/>
                </m:dPr>
                <m:e>
                  <m:sSub>
                    <m:e>
                      <m:r>
                        <m:t>r</m:t>
                      </m:r>
                    </m:e>
                    <m:sub>
                      <m:r>
                        <m:t>t</m:t>
                      </m:r>
                    </m:sub>
                  </m:sSub>
                  <m:r>
                    <m:rPr>
                      <m:sty m:val="p"/>
                    </m:rPr>
                    <m:t>−</m:t>
                  </m:r>
                  <m:sSub>
                    <m:e>
                      <m:acc>
                        <m:accPr>
                          <m:chr m:val="‾"/>
                        </m:accPr>
                        <m:e>
                          <m:r>
                            <m:t>r</m:t>
                          </m:r>
                        </m:e>
                      </m:acc>
                    </m:e>
                    <m:sub>
                      <m:r>
                        <m:t>t</m:t>
                      </m:r>
                    </m:sub>
                  </m:sSub>
                </m:e>
              </m:d>
            </m:e>
            <m:sup>
              <m:r>
                <m:t>2</m:t>
              </m:r>
            </m:sup>
          </m:sSup>
          <m:r>
            <m:rPr>
              <m:sty m:val="p"/>
            </m:rPr>
            <m:t>;</m:t>
          </m:r>
          <m:r>
            <m:t>  </m:t>
          </m:r>
          <m:r>
            <m:t>S</m:t>
          </m:r>
          <m:r>
            <m:t>D</m:t>
          </m:r>
          <m:d>
            <m:dPr>
              <m:begChr m:val="("/>
              <m:sepChr m:val=""/>
              <m:endChr m:val=")"/>
              <m:grow/>
            </m:dPr>
            <m:e>
              <m:sSub>
                <m:e>
                  <m:r>
                    <m:t>r</m:t>
                  </m:r>
                </m:e>
                <m:sub>
                  <m:r>
                    <m:t>t</m:t>
                  </m:r>
                </m:sub>
              </m:sSub>
            </m:e>
          </m:d>
          <m:r>
            <m:rPr>
              <m:sty m:val="p"/>
            </m:rPr>
            <m:t>=</m:t>
          </m:r>
          <m:rad>
            <m:radPr>
              <m:degHide m:val="on"/>
            </m:radPr>
            <m:deg/>
            <m:e>
              <m:r>
                <m:rPr>
                  <m:nor/>
                  <m:sty m:val="p"/>
                </m:rPr>
                <m:t>Var</m:t>
              </m:r>
              <m:d>
                <m:dPr>
                  <m:begChr m:val="("/>
                  <m:sepChr m:val=""/>
                  <m:endChr m:val=")"/>
                  <m:grow/>
                </m:dPr>
                <m:e>
                  <m:sSub>
                    <m:e>
                      <m:r>
                        <m:t>r</m:t>
                      </m:r>
                    </m:e>
                    <m:sub>
                      <m:r>
                        <m:t>t</m:t>
                      </m:r>
                    </m:sub>
                  </m:sSub>
                </m:e>
              </m:d>
            </m:e>
          </m:rad>
          <m:r>
            <m:t>  </m:t>
          </m:r>
          <m:d>
            <m:dPr>
              <m:begChr m:val="("/>
              <m:sepChr m:val=""/>
              <m:endChr m:val=")"/>
              <m:grow/>
            </m:dPr>
            <m:e>
              <m:r>
                <m:t>16</m:t>
              </m:r>
            </m:e>
          </m:d>
        </m:oMath>
      </m:oMathPara>
      <w:bookmarkEnd w:id="74"/>
    </w:p>
    <w:p>
      <w:pPr>
        <w:pStyle w:val="FirstParagraph"/>
      </w:pPr>
      <w:r>
        <w:t xml:space="preserve">The</w:t>
      </w:r>
      <w:r>
        <w:t xml:space="preserve"> </w:t>
      </w:r>
      <m:oMath>
        <m:r>
          <m:t>n</m:t>
        </m:r>
        <m:r>
          <m:rPr>
            <m:sty m:val="p"/>
          </m:rPr>
          <m:t>/</m:t>
        </m:r>
        <m:d>
          <m:dPr>
            <m:begChr m:val="("/>
            <m:sepChr m:val=""/>
            <m:endChr m:val=")"/>
            <m:grow/>
          </m:dPr>
          <m:e>
            <m:r>
              <m:t>n</m:t>
            </m:r>
            <m:r>
              <m:rPr>
                <m:sty m:val="p"/>
              </m:rPr>
              <m:t>−</m:t>
            </m:r>
            <m:r>
              <m:t>1</m:t>
            </m:r>
          </m:e>
        </m:d>
      </m:oMath>
      <w:r>
        <w:t xml:space="preserve"> </w:t>
      </w:r>
      <w:r>
        <w:t xml:space="preserve">correction is sometimes called a correction for degrees of freedom bias.</w:t>
      </w:r>
    </w:p>
    <w:bookmarkEnd w:id="75"/>
    <w:bookmarkStart w:id="85" w:name="risk-and-return-a-first-look"/>
    <w:p>
      <w:pPr>
        <w:pStyle w:val="Heading3"/>
      </w:pPr>
      <w:r>
        <w:t xml:space="preserve">5.4.2 Risk and Return: A First Look</w:t>
      </w:r>
    </w:p>
    <w:p>
      <w:pPr>
        <w:pStyle w:val="FirstParagraph"/>
      </w:pPr>
      <w:r>
        <w:t xml:space="preserve">The standard deviation of the return on stocks over the 1927–2022 period was 20.06%, nearly double that of T-bonds (12.20%) and more than six times that of T-bills (3.09%). That greater risk brought with it greater reward: the excess return on stocks averaged 8.55% per year.</w:t>
      </w:r>
    </w:p>
    <w:p>
      <w:pPr>
        <w:pStyle w:val="TableCaption"/>
      </w:pPr>
      <w:r>
        <w:t xml:space="preserve">Table 5.3 — Risk and return of investments in major asset classes, 1927–2022</w:t>
      </w:r>
    </w:p>
    <w:tbl>
      <w:tblPr>
        <w:tblStyle w:val="Table"/>
        <w:tblW w:type="auto" w:w="0"/>
        <w:tblLook w:firstRow="1" w:lastRow="0" w:firstColumn="0" w:lastColumn="0" w:noHBand="0" w:noVBand="0" w:val="0020"/>
        <w:tblCaption w:val="Table 5.3 — Risk and return of investments in major asset classes, 1927–2022"/>
      </w:tblPr>
      <w:tblGrid>
        <w:gridCol w:w="1980"/>
        <w:gridCol w:w="1980"/>
        <w:gridCol w:w="1980"/>
        <w:gridCol w:w="1980"/>
      </w:tblGrid>
      <w:tr>
        <w:trPr>
          <w:tblHeader w:val="on"/>
        </w:trPr>
        <w:tc>
          <w:tcPr/>
          <w:p>
            <w:pPr>
              <w:pStyle w:val="Compact"/>
            </w:pPr>
          </w:p>
        </w:tc>
        <w:tc>
          <w:tcPr/>
          <w:p>
            <w:pPr>
              <w:pStyle w:val="Compact"/>
              <w:jc w:val="center"/>
            </w:pPr>
            <w:r>
              <w:t xml:space="preserve">T-bills</w:t>
            </w:r>
          </w:p>
        </w:tc>
        <w:tc>
          <w:tcPr/>
          <w:p>
            <w:pPr>
              <w:pStyle w:val="Compact"/>
              <w:jc w:val="center"/>
            </w:pPr>
            <w:r>
              <w:t xml:space="preserve">T-bonds</w:t>
            </w:r>
          </w:p>
        </w:tc>
        <w:tc>
          <w:tcPr/>
          <w:p>
            <w:pPr>
              <w:pStyle w:val="Compact"/>
              <w:jc w:val="center"/>
            </w:pPr>
            <w:r>
              <w:t xml:space="preserve">Stocks</w:t>
            </w:r>
          </w:p>
        </w:tc>
      </w:tr>
      <w:tr>
        <w:tc>
          <w:tcPr/>
          <w:p>
            <w:pPr>
              <w:pStyle w:val="Compact"/>
              <w:jc w:val="left"/>
            </w:pPr>
            <w:r>
              <w:t xml:space="preserve">Average</w:t>
            </w:r>
          </w:p>
        </w:tc>
        <w:tc>
          <w:tcPr/>
          <w:p>
            <w:pPr>
              <w:pStyle w:val="Compact"/>
              <w:jc w:val="center"/>
            </w:pPr>
            <w:r>
              <w:t xml:space="preserve">3.28</w:t>
            </w:r>
          </w:p>
        </w:tc>
        <w:tc>
          <w:tcPr/>
          <w:p>
            <w:pPr>
              <w:pStyle w:val="Compact"/>
              <w:jc w:val="center"/>
            </w:pPr>
            <w:r>
              <w:t xml:space="preserve">5.56</w:t>
            </w:r>
          </w:p>
        </w:tc>
        <w:tc>
          <w:tcPr/>
          <w:p>
            <w:pPr>
              <w:pStyle w:val="Compact"/>
              <w:jc w:val="center"/>
            </w:pPr>
            <w:r>
              <w:t xml:space="preserve">11.84</w:t>
            </w:r>
          </w:p>
        </w:tc>
      </w:tr>
      <w:tr>
        <w:tc>
          <w:tcPr/>
          <w:p>
            <w:pPr>
              <w:pStyle w:val="Compact"/>
              <w:jc w:val="left"/>
            </w:pPr>
            <w:r>
              <w:t xml:space="preserve">Risk premium</w:t>
            </w:r>
          </w:p>
        </w:tc>
        <w:tc>
          <w:tcPr/>
          <w:p>
            <w:pPr>
              <w:pStyle w:val="Compact"/>
              <w:jc w:val="center"/>
            </w:pPr>
            <w:r>
              <w:t xml:space="preserve">na</w:t>
            </w:r>
          </w:p>
        </w:tc>
        <w:tc>
          <w:tcPr/>
          <w:p>
            <w:pPr>
              <w:pStyle w:val="Compact"/>
              <w:jc w:val="center"/>
            </w:pPr>
            <w:r>
              <w:t xml:space="preserve">2.27</w:t>
            </w:r>
          </w:p>
        </w:tc>
        <w:tc>
          <w:tcPr/>
          <w:p>
            <w:pPr>
              <w:pStyle w:val="Compact"/>
              <w:jc w:val="center"/>
            </w:pPr>
            <w:r>
              <w:t xml:space="preserve">8.55</w:t>
            </w:r>
          </w:p>
        </w:tc>
      </w:tr>
      <w:tr>
        <w:tc>
          <w:tcPr/>
          <w:p>
            <w:pPr>
              <w:pStyle w:val="Compact"/>
              <w:jc w:val="left"/>
            </w:pPr>
            <w:r>
              <w:t xml:space="preserve">Standard deviation</w:t>
            </w:r>
          </w:p>
        </w:tc>
        <w:tc>
          <w:tcPr/>
          <w:p>
            <w:pPr>
              <w:pStyle w:val="Compact"/>
              <w:jc w:val="center"/>
            </w:pPr>
            <w:r>
              <w:t xml:space="preserve">3.09</w:t>
            </w:r>
          </w:p>
        </w:tc>
        <w:tc>
          <w:tcPr/>
          <w:p>
            <w:pPr>
              <w:pStyle w:val="Compact"/>
              <w:jc w:val="center"/>
            </w:pPr>
            <w:r>
              <w:t xml:space="preserve">12.20</w:t>
            </w:r>
          </w:p>
        </w:tc>
        <w:tc>
          <w:tcPr/>
          <w:p>
            <w:pPr>
              <w:pStyle w:val="Compact"/>
              <w:jc w:val="center"/>
            </w:pPr>
            <w:r>
              <w:t xml:space="preserve">20.06</w:t>
            </w:r>
          </w:p>
        </w:tc>
      </w:tr>
      <w:tr>
        <w:tc>
          <w:tcPr/>
          <w:p>
            <w:pPr>
              <w:pStyle w:val="Compact"/>
              <w:jc w:val="left"/>
            </w:pPr>
            <w:r>
              <w:t xml:space="preserve">Max</w:t>
            </w:r>
          </w:p>
        </w:tc>
        <w:tc>
          <w:tcPr/>
          <w:p>
            <w:pPr>
              <w:pStyle w:val="Compact"/>
              <w:jc w:val="center"/>
            </w:pPr>
            <w:r>
              <w:t xml:space="preserve">14.71</w:t>
            </w:r>
          </w:p>
        </w:tc>
        <w:tc>
          <w:tcPr/>
          <w:p>
            <w:pPr>
              <w:pStyle w:val="Compact"/>
              <w:jc w:val="center"/>
            </w:pPr>
            <w:r>
              <w:t xml:space="preserve">41.68</w:t>
            </w:r>
          </w:p>
        </w:tc>
        <w:tc>
          <w:tcPr/>
          <w:p>
            <w:pPr>
              <w:pStyle w:val="Compact"/>
              <w:jc w:val="center"/>
            </w:pPr>
            <w:r>
              <w:t xml:space="preserve">57.35</w:t>
            </w:r>
          </w:p>
        </w:tc>
      </w:tr>
      <w:tr>
        <w:tc>
          <w:tcPr/>
          <w:p>
            <w:pPr>
              <w:pStyle w:val="Compact"/>
              <w:jc w:val="left"/>
            </w:pPr>
            <w:r>
              <w:t xml:space="preserve">Min</w:t>
            </w:r>
          </w:p>
        </w:tc>
        <w:tc>
          <w:tcPr/>
          <w:p>
            <w:pPr>
              <w:pStyle w:val="Compact"/>
              <w:jc w:val="center"/>
            </w:pPr>
            <w:r>
              <w:t xml:space="preserve">−0.02</w:t>
            </w:r>
          </w:p>
        </w:tc>
        <w:tc>
          <w:tcPr/>
          <w:p>
            <w:pPr>
              <w:pStyle w:val="Compact"/>
              <w:jc w:val="center"/>
            </w:pPr>
            <w:r>
              <w:t xml:space="preserve">−33.33</w:t>
            </w:r>
          </w:p>
        </w:tc>
        <w:tc>
          <w:tcPr/>
          <w:p>
            <w:pPr>
              <w:pStyle w:val="Compact"/>
              <w:jc w:val="center"/>
            </w:pPr>
            <w:r>
              <w:t xml:space="preserve">−44.04</w:t>
            </w:r>
          </w:p>
        </w:tc>
      </w:tr>
    </w:tbl>
    <w:p>
      <w:pPr>
        <w:pStyle w:val="BodyText"/>
      </w:pPr>
      <w:r>
        <w:t xml:space="preserve">The figures below show the frequency distributions of annual returns on these three portfolios. The greater volatility of stock returns compared to T-bill or T-bond returns is immediately apparent.</w:t>
      </w:r>
    </w:p>
    <w:p>
      <w:pPr>
        <w:pStyle w:val="CaptionedFigure"/>
      </w:pPr>
      <w:r>
        <w:drawing>
          <wp:inline>
            <wp:extent cx="5334000" cy="3484252"/>
            <wp:effectExtent b="0" l="0" r="0" t="0"/>
            <wp:docPr descr="Figure 5.4a — Frequency distribution of annual returns on U.S. Treasury bills, 1927–2022" title="" id="77" name="Picture"/>
            <a:graphic>
              <a:graphicData uri="http://schemas.openxmlformats.org/drawingml/2006/picture">
                <pic:pic>
                  <pic:nvPicPr>
                    <pic:cNvPr descr="../assets/images/Ch05/Figure_5_4a_Tbills_Frequency.png" id="78" name="Picture"/>
                    <pic:cNvPicPr>
                      <a:picLocks noChangeArrowheads="1" noChangeAspect="1"/>
                    </pic:cNvPicPr>
                  </pic:nvPicPr>
                  <pic:blipFill>
                    <a:blip r:embed="rId76"/>
                    <a:stretch>
                      <a:fillRect/>
                    </a:stretch>
                  </pic:blipFill>
                  <pic:spPr bwMode="auto">
                    <a:xfrm>
                      <a:off x="0" y="0"/>
                      <a:ext cx="5334000" cy="3484252"/>
                    </a:xfrm>
                    <a:prstGeom prst="rect">
                      <a:avLst/>
                    </a:prstGeom>
                    <a:noFill/>
                    <a:ln w="9525">
                      <a:noFill/>
                      <a:headEnd/>
                      <a:tailEnd/>
                    </a:ln>
                  </pic:spPr>
                </pic:pic>
              </a:graphicData>
            </a:graphic>
          </wp:inline>
        </w:drawing>
      </w:r>
    </w:p>
    <w:p>
      <w:pPr>
        <w:pStyle w:val="ImageCaption"/>
      </w:pPr>
      <w:r>
        <w:t xml:space="preserve">Figure 5.4a — Frequency distribution of annual returns on U.S. Treasury bills, 1927–2022</w:t>
      </w:r>
    </w:p>
    <w:p>
      <w:pPr>
        <w:pStyle w:val="CaptionedFigure"/>
      </w:pPr>
      <w:r>
        <w:drawing>
          <wp:inline>
            <wp:extent cx="5334000" cy="3372678"/>
            <wp:effectExtent b="0" l="0" r="0" t="0"/>
            <wp:docPr descr="Figure 5.4b — Frequency distribution of annual returns on 30-year Treasury bonds, 1927–2022" title="" id="80" name="Picture"/>
            <a:graphic>
              <a:graphicData uri="http://schemas.openxmlformats.org/drawingml/2006/picture">
                <pic:pic>
                  <pic:nvPicPr>
                    <pic:cNvPr descr="../assets/images/Ch05/Figure_5_4b_Tbonds_Frequency.png" id="81" name="Picture"/>
                    <pic:cNvPicPr>
                      <a:picLocks noChangeArrowheads="1" noChangeAspect="1"/>
                    </pic:cNvPicPr>
                  </pic:nvPicPr>
                  <pic:blipFill>
                    <a:blip r:embed="rId79"/>
                    <a:stretch>
                      <a:fillRect/>
                    </a:stretch>
                  </pic:blipFill>
                  <pic:spPr bwMode="auto">
                    <a:xfrm>
                      <a:off x="0" y="0"/>
                      <a:ext cx="5334000" cy="3372678"/>
                    </a:xfrm>
                    <a:prstGeom prst="rect">
                      <a:avLst/>
                    </a:prstGeom>
                    <a:noFill/>
                    <a:ln w="9525">
                      <a:noFill/>
                      <a:headEnd/>
                      <a:tailEnd/>
                    </a:ln>
                  </pic:spPr>
                </pic:pic>
              </a:graphicData>
            </a:graphic>
          </wp:inline>
        </w:drawing>
      </w:r>
    </w:p>
    <w:p>
      <w:pPr>
        <w:pStyle w:val="ImageCaption"/>
      </w:pPr>
      <w:r>
        <w:t xml:space="preserve">Figure 5.4b — Frequency distribution of annual returns on 30-year Treasury bonds, 1927–2022</w:t>
      </w:r>
    </w:p>
    <w:p>
      <w:pPr>
        <w:pStyle w:val="CaptionedFigure"/>
      </w:pPr>
      <w:r>
        <w:drawing>
          <wp:inline>
            <wp:extent cx="5334000" cy="3501916"/>
            <wp:effectExtent b="0" l="0" r="0" t="0"/>
            <wp:docPr descr="Figure 5.4c — Frequency distribution of annual returns on common stocks, 1927–2022" title="" id="83" name="Picture"/>
            <a:graphic>
              <a:graphicData uri="http://schemas.openxmlformats.org/drawingml/2006/picture">
                <pic:pic>
                  <pic:nvPicPr>
                    <pic:cNvPr descr="../assets/images/Ch05/Figure_5_4c_Stocks_Frequency.png" id="84" name="Picture"/>
                    <pic:cNvPicPr>
                      <a:picLocks noChangeArrowheads="1" noChangeAspect="1"/>
                    </pic:cNvPicPr>
                  </pic:nvPicPr>
                  <pic:blipFill>
                    <a:blip r:embed="rId82"/>
                    <a:stretch>
                      <a:fillRect/>
                    </a:stretch>
                  </pic:blipFill>
                  <pic:spPr bwMode="auto">
                    <a:xfrm>
                      <a:off x="0" y="0"/>
                      <a:ext cx="5334000" cy="3501916"/>
                    </a:xfrm>
                    <a:prstGeom prst="rect">
                      <a:avLst/>
                    </a:prstGeom>
                    <a:noFill/>
                    <a:ln w="9525">
                      <a:noFill/>
                      <a:headEnd/>
                      <a:tailEnd/>
                    </a:ln>
                  </pic:spPr>
                </pic:pic>
              </a:graphicData>
            </a:graphic>
          </wp:inline>
        </w:drawing>
      </w:r>
    </w:p>
    <w:p>
      <w:pPr>
        <w:pStyle w:val="ImageCaption"/>
      </w:pPr>
      <w:r>
        <w:t xml:space="preserve">Figure 5.4c — Frequency distribution of annual returns on common stocks, 1927–2022</w:t>
      </w:r>
    </w:p>
    <w:p>
      <w:pPr>
        <w:pStyle w:val="BodyText"/>
      </w:pPr>
      <w:r>
        <w:t xml:space="preserve">Historical returns on stocks exhibit somewhat more frequent, large deviations from the mean than would be predicted from a normal distribution. The actual frequencies of extreme returns, both high and low, are higher than would be predicted by the normal distribution — evidence of a fat-tailed distribution. Nevertheless, extreme returns are in fact quite uncommon, especially in more recent years, so it is not unreasonable to accept the simplification offered by normality as an acceptable approximation.</w:t>
      </w:r>
    </w:p>
    <w:p>
      <w:r>
        <w:pict>
          <v:rect style="width:0;height:1.5pt" o:hralign="center" o:hrstd="t" o:hr="t"/>
        </w:pict>
      </w:r>
    </w:p>
    <w:bookmarkEnd w:id="85"/>
    <w:bookmarkEnd w:id="86"/>
    <w:bookmarkStart w:id="100" w:name="X3dd0bee96046662155380f4350a8d4429b0867c"/>
    <w:p>
      <w:pPr>
        <w:pStyle w:val="Heading2"/>
      </w:pPr>
      <w:r>
        <w:t xml:space="preserve">5.5 Asset Allocation Across Risky and Risk-Free Portfolios</w:t>
      </w:r>
    </w:p>
    <w:p>
      <w:pPr>
        <w:pStyle w:val="FirstParagraph"/>
      </w:pPr>
      <w:r>
        <w:t xml:space="preserve">History shows that long-term bonds have been riskier investments than investments in Treasury bills and that stock investments have been riskier still. At the same time, the riskier investments have offered higher average returns. But investors do not make all-or-nothing choices from these investment classes.</w:t>
      </w:r>
    </w:p>
    <w:p>
      <w:pPr>
        <w:pStyle w:val="BodyText"/>
      </w:pPr>
      <w:r>
        <w:rPr>
          <w:b/>
          <w:bCs/>
        </w:rPr>
        <w:t xml:space="preserve">Asset allocation</w:t>
      </w:r>
      <w:r>
        <w:t xml:space="preserve"> </w:t>
      </w:r>
      <w:r>
        <w:t xml:space="preserve">is the allocation of an investment portfolio across broad asset classes.</w:t>
      </w:r>
      <w:r>
        <w:t xml:space="preserve"> </w:t>
      </w:r>
      <w:r>
        <w:rPr>
          <w:b/>
          <w:bCs/>
        </w:rPr>
        <w:t xml:space="preserve">Capital allocation to risky assets</w:t>
      </w:r>
      <w:r>
        <w:t xml:space="preserve"> </w:t>
      </w:r>
      <w:r>
        <w:t xml:space="preserve">is the fraction of the portfolio placed in risky assets. The</w:t>
      </w:r>
      <w:r>
        <w:t xml:space="preserve"> </w:t>
      </w:r>
      <w:r>
        <w:rPr>
          <w:b/>
          <w:bCs/>
        </w:rPr>
        <w:t xml:space="preserve">complete portfolio</w:t>
      </w:r>
      <w:r>
        <w:t xml:space="preserve"> </w:t>
      </w:r>
      <w:r>
        <w:t xml:space="preserve">is the entire portfolio including risky and risk-free assets.</w:t>
      </w:r>
    </w:p>
    <w:bookmarkStart w:id="87" w:name="the-risk-free-asset"/>
    <w:p>
      <w:pPr>
        <w:pStyle w:val="Heading3"/>
      </w:pPr>
      <w:r>
        <w:t xml:space="preserve">5.5.1 The Risk-Free Asset</w:t>
      </w:r>
    </w:p>
    <w:p>
      <w:pPr>
        <w:pStyle w:val="FirstParagraph"/>
      </w:pPr>
      <w:r>
        <w:t xml:space="preserve">Only the government can issue default-free (Treasury) bonds and bills. Treasury bills are commonly viewed as</w:t>
      </w:r>
      <w:r>
        <w:t xml:space="preserve"> </w:t>
      </w:r>
      <w:r>
        <w:rPr>
          <w:i/>
          <w:iCs/>
        </w:rPr>
        <w:t xml:space="preserve">the</w:t>
      </w:r>
      <w:r>
        <w:t xml:space="preserve"> </w:t>
      </w:r>
      <w:r>
        <w:t xml:space="preserve">risk-free asset. In practice, most investors treat a broader range of money market instruments as effectively risk-free assets, since the risk of any of these money market instruments is trivial compared to that of long-term bonds or stocks.</w:t>
      </w:r>
    </w:p>
    <w:bookmarkEnd w:id="87"/>
    <w:bookmarkStart w:id="92" w:name="portfolio-expected-return-and-risk"/>
    <w:p>
      <w:pPr>
        <w:pStyle w:val="Heading3"/>
      </w:pPr>
      <w:r>
        <w:t xml:space="preserve">5.5.2 Portfolio Expected Return and Risk</w:t>
      </w:r>
    </w:p>
    <w:p>
      <w:pPr>
        <w:pStyle w:val="FirstParagraph"/>
      </w:pPr>
      <w:r>
        <w:t xml:space="preserve">Let</w:t>
      </w:r>
      <w:r>
        <w:t xml:space="preserve"> </w:t>
      </w:r>
      <m:oMath>
        <m:r>
          <m:t>y</m:t>
        </m:r>
      </m:oMath>
      <w:r>
        <w:t xml:space="preserve"> </w:t>
      </w:r>
      <w:r>
        <w:t xml:space="preserve">be the proportion of the investment budget allocated to the risky portfolio</w:t>
      </w:r>
      <w:r>
        <w:t xml:space="preserve"> </w:t>
      </w:r>
      <m:oMath>
        <m:r>
          <m:t>P</m:t>
        </m:r>
      </m:oMath>
      <w:r>
        <w:t xml:space="preserve">, and</w:t>
      </w:r>
      <w:r>
        <w:t xml:space="preserve"> </w:t>
      </w:r>
      <m:oMath>
        <m:d>
          <m:dPr>
            <m:begChr m:val="("/>
            <m:sepChr m:val=""/>
            <m:endChr m:val=")"/>
            <m:grow/>
          </m:dPr>
          <m:e>
            <m:r>
              <m:t>1</m:t>
            </m:r>
            <m:r>
              <m:rPr>
                <m:sty m:val="p"/>
              </m:rPr>
              <m:t>−</m:t>
            </m:r>
            <m:r>
              <m:t>y</m:t>
            </m:r>
          </m:e>
        </m:d>
      </m:oMath>
      <w:r>
        <w:t xml:space="preserve"> </w:t>
      </w:r>
      <w:r>
        <w:t xml:space="preserve">be the proportion in the risk-free asset with return</w:t>
      </w:r>
      <w:r>
        <w:t xml:space="preserve"> </w:t>
      </w:r>
      <m:oMath>
        <m:sSub>
          <m:e>
            <m:r>
              <m:t>r</m:t>
            </m:r>
          </m:e>
          <m:sub>
            <m:r>
              <m:t>f</m:t>
            </m:r>
          </m:sub>
        </m:sSub>
      </m:oMath>
      <w:r>
        <w:t xml:space="preserve">.</w:t>
      </w:r>
    </w:p>
    <w:p>
      <w:pPr>
        <w:pStyle w:val="BodyText"/>
      </w:pPr>
      <w:r>
        <w:rPr>
          <w:b/>
          <w:bCs/>
        </w:rPr>
        <w:t xml:space="preserve">Expected return of the complete portfolio:</w:t>
      </w:r>
    </w:p>
    <w:p>
      <w:pPr>
        <w:pStyle w:val="BodyText"/>
      </w:pPr>
      <w:bookmarkStart w:id="88" w:name="eq-complete-return"/>
      <m:oMathPara>
        <m:oMathParaPr>
          <m:jc m:val="center"/>
        </m:oMathParaPr>
        <m:oMath>
          <m:r>
            <m:t>E</m:t>
          </m:r>
          <m:d>
            <m:dPr>
              <m:begChr m:val="("/>
              <m:sepChr m:val=""/>
              <m:endChr m:val=")"/>
              <m:grow/>
            </m:dPr>
            <m:e>
              <m:sSub>
                <m:e>
                  <m:r>
                    <m:t>r</m:t>
                  </m:r>
                </m:e>
                <m:sub>
                  <m:r>
                    <m:t>C</m:t>
                  </m:r>
                </m:sub>
              </m:sSub>
            </m:e>
          </m:d>
          <m:r>
            <m:rPr>
              <m:sty m:val="p"/>
            </m:rPr>
            <m:t>=</m:t>
          </m:r>
          <m:sSub>
            <m:e>
              <m:r>
                <m:t>r</m:t>
              </m:r>
            </m:e>
            <m:sub>
              <m:r>
                <m:t>f</m:t>
              </m:r>
            </m:sub>
          </m:sSub>
          <m:r>
            <m:rPr>
              <m:sty m:val="p"/>
            </m:rPr>
            <m:t>+</m:t>
          </m:r>
          <m:r>
            <m:t>y</m:t>
          </m:r>
          <m:d>
            <m:dPr>
              <m:begChr m:val="["/>
              <m:sepChr m:val=""/>
              <m:endChr m:val="]"/>
              <m:grow/>
            </m:dPr>
            <m:e>
              <m:r>
                <m:t>E</m:t>
              </m:r>
              <m:d>
                <m:dPr>
                  <m:begChr m:val="("/>
                  <m:sepChr m:val=""/>
                  <m:endChr m:val=")"/>
                  <m:grow/>
                </m:dPr>
                <m:e>
                  <m:sSub>
                    <m:e>
                      <m:r>
                        <m:t>r</m:t>
                      </m:r>
                    </m:e>
                    <m:sub>
                      <m:r>
                        <m:t>P</m:t>
                      </m:r>
                    </m:sub>
                  </m:sSub>
                </m:e>
              </m:d>
              <m:r>
                <m:rPr>
                  <m:sty m:val="p"/>
                </m:rPr>
                <m:t>−</m:t>
              </m:r>
              <m:sSub>
                <m:e>
                  <m:r>
                    <m:t>r</m:t>
                  </m:r>
                </m:e>
                <m:sub>
                  <m:r>
                    <m:t>f</m:t>
                  </m:r>
                </m:sub>
              </m:sSub>
            </m:e>
          </m:d>
          <m:r>
            <m:t>  </m:t>
          </m:r>
          <m:d>
            <m:dPr>
              <m:begChr m:val="("/>
              <m:sepChr m:val=""/>
              <m:endChr m:val=")"/>
              <m:grow/>
            </m:dPr>
            <m:e>
              <m:r>
                <m:t>17</m:t>
              </m:r>
            </m:e>
          </m:d>
        </m:oMath>
      </m:oMathPara>
      <w:bookmarkEnd w:id="88"/>
    </w:p>
    <w:p>
      <w:pPr>
        <w:pStyle w:val="FirstParagraph"/>
      </w:pPr>
      <w:r>
        <w:rPr>
          <w:b/>
          <w:bCs/>
        </w:rPr>
        <w:t xml:space="preserve">Standard deviation of the complete portfolio:</w:t>
      </w:r>
    </w:p>
    <w:p>
      <w:pPr>
        <w:pStyle w:val="BodyText"/>
      </w:pPr>
      <w:bookmarkStart w:id="89" w:name="eq-complete-sd"/>
      <m:oMathPara>
        <m:oMathParaPr>
          <m:jc m:val="center"/>
        </m:oMathParaPr>
        <m:oMath>
          <m:sSub>
            <m:e>
              <m:r>
                <m:t>σ</m:t>
              </m:r>
            </m:e>
            <m:sub>
              <m:r>
                <m:t>C</m:t>
              </m:r>
            </m:sub>
          </m:sSub>
          <m:r>
            <m:rPr>
              <m:sty m:val="p"/>
            </m:rPr>
            <m:t>=</m:t>
          </m:r>
          <m:r>
            <m:t>y</m:t>
          </m:r>
          <m:r>
            <m:t> </m:t>
          </m:r>
          <m:sSub>
            <m:e>
              <m:r>
                <m:t>σ</m:t>
              </m:r>
            </m:e>
            <m:sub>
              <m:r>
                <m:t>P</m:t>
              </m:r>
            </m:sub>
          </m:sSub>
          <m:r>
            <m:t>  </m:t>
          </m:r>
          <m:d>
            <m:dPr>
              <m:begChr m:val="("/>
              <m:sepChr m:val=""/>
              <m:endChr m:val=")"/>
              <m:grow/>
            </m:dPr>
            <m:e>
              <m:r>
                <m:t>18</m:t>
              </m:r>
            </m:e>
          </m:d>
        </m:oMath>
      </m:oMathPara>
      <w:bookmarkEnd w:id="89"/>
    </w:p>
    <w:p>
      <w:pPr>
        <w:pStyle w:val="FirstParagraph"/>
      </w:pPr>
      <w:r>
        <w:rPr>
          <w:b/>
          <w:bCs/>
        </w:rPr>
        <w:t xml:space="preserve">Numerical example:</w:t>
      </w:r>
      <w:r>
        <w:t xml:space="preserve"> </w:t>
      </w:r>
      <w:r>
        <w:t xml:space="preserve">Suppose</w:t>
      </w:r>
      <w:r>
        <w:t xml:space="preserve"> </w:t>
      </w:r>
      <m:oMath>
        <m:r>
          <m:t>E</m:t>
        </m:r>
        <m:d>
          <m:dPr>
            <m:begChr m:val="("/>
            <m:sepChr m:val=""/>
            <m:endChr m:val=")"/>
            <m:grow/>
          </m:dPr>
          <m:e>
            <m:sSub>
              <m:e>
                <m:r>
                  <m:t>r</m:t>
                </m:r>
              </m:e>
              <m:sub>
                <m:r>
                  <m:t>P</m:t>
                </m:r>
              </m:sub>
            </m:sSub>
          </m:e>
        </m:d>
        <m:r>
          <m:rPr>
            <m:sty m:val="p"/>
          </m:rPr>
          <m:t>=</m:t>
        </m:r>
        <m:r>
          <m:t>10</m:t>
        </m:r>
        <m:r>
          <m:rPr>
            <m:sty m:val="p"/>
          </m:rPr>
          <m:t>%</m:t>
        </m:r>
      </m:oMath>
      <w:r>
        <w:t xml:space="preserve">,</w:t>
      </w:r>
      <w:r>
        <w:t xml:space="preserve"> </w:t>
      </w:r>
      <m:oMath>
        <m:sSub>
          <m:e>
            <m:r>
              <m:t>σ</m:t>
            </m:r>
          </m:e>
          <m:sub>
            <m:r>
              <m:t>P</m:t>
            </m:r>
          </m:sub>
        </m:sSub>
        <m:r>
          <m:rPr>
            <m:sty m:val="p"/>
          </m:rPr>
          <m:t>=</m:t>
        </m:r>
        <m:r>
          <m:t>22</m:t>
        </m:r>
        <m:r>
          <m:rPr>
            <m:sty m:val="p"/>
          </m:rPr>
          <m:t>%</m:t>
        </m:r>
      </m:oMath>
      <w:r>
        <w:t xml:space="preserve">, and</w:t>
      </w:r>
      <w:r>
        <w:t xml:space="preserve"> </w:t>
      </w:r>
      <m:oMath>
        <m:sSub>
          <m:e>
            <m:r>
              <m:t>r</m:t>
            </m:r>
          </m:e>
          <m:sub>
            <m:r>
              <m:t>f</m:t>
            </m:r>
          </m:sub>
        </m:sSub>
        <m:r>
          <m:rPr>
            <m:sty m:val="p"/>
          </m:rPr>
          <m:t>=</m:t>
        </m:r>
        <m:r>
          <m:t>2</m:t>
        </m:r>
        <m:r>
          <m:rPr>
            <m:sty m:val="p"/>
          </m:rPr>
          <m:t>%</m:t>
        </m:r>
      </m:oMath>
      <w:r>
        <w:t xml:space="preserve">, so the risk premium on the risky asset is 8%. If</w:t>
      </w:r>
      <w:r>
        <w:t xml:space="preserve"> </w:t>
      </w:r>
      <m:oMath>
        <m:r>
          <m:t>y</m:t>
        </m:r>
        <m:r>
          <m:rPr>
            <m:sty m:val="p"/>
          </m:rPr>
          <m:t>=</m:t>
        </m:r>
        <m:r>
          <m:t>0.5</m:t>
        </m:r>
      </m:oMath>
      <w:r>
        <w:t xml:space="preserve">:</w:t>
      </w:r>
    </w:p>
    <w:p>
      <w:pPr>
        <w:pStyle w:val="Compact"/>
        <w:numPr>
          <w:ilvl w:val="0"/>
          <w:numId w:val="1005"/>
        </w:numPr>
      </w:pPr>
      <m:oMath>
        <m:r>
          <m:t>E</m:t>
        </m:r>
        <m:d>
          <m:dPr>
            <m:begChr m:val="("/>
            <m:sepChr m:val=""/>
            <m:endChr m:val=")"/>
            <m:grow/>
          </m:dPr>
          <m:e>
            <m:sSub>
              <m:e>
                <m:r>
                  <m:t>r</m:t>
                </m:r>
              </m:e>
              <m:sub>
                <m:r>
                  <m:t>C</m:t>
                </m:r>
              </m:sub>
            </m:sSub>
          </m:e>
        </m:d>
        <m:r>
          <m:rPr>
            <m:sty m:val="p"/>
          </m:rPr>
          <m:t>=</m:t>
        </m:r>
        <m:r>
          <m:t>0.5</m:t>
        </m:r>
        <m:r>
          <m:rPr>
            <m:sty m:val="p"/>
          </m:rPr>
          <m:t>×</m:t>
        </m:r>
        <m:r>
          <m:t>2</m:t>
        </m:r>
        <m:r>
          <m:rPr>
            <m:sty m:val="p"/>
          </m:rPr>
          <m:t>%</m:t>
        </m:r>
        <m:r>
          <m:rPr>
            <m:sty m:val="p"/>
          </m:rPr>
          <m:t>+</m:t>
        </m:r>
        <m:r>
          <m:t>0.5</m:t>
        </m:r>
        <m:r>
          <m:rPr>
            <m:sty m:val="p"/>
          </m:rPr>
          <m:t>×</m:t>
        </m:r>
        <m:r>
          <m:t>10</m:t>
        </m:r>
        <m:r>
          <m:rPr>
            <m:sty m:val="p"/>
          </m:rPr>
          <m:t>%</m:t>
        </m:r>
        <m:r>
          <m:rPr>
            <m:sty m:val="p"/>
          </m:rPr>
          <m:t>=</m:t>
        </m:r>
        <m:r>
          <m:t>6</m:t>
        </m:r>
        <m:r>
          <m:rPr>
            <m:sty m:val="p"/>
          </m:rPr>
          <m:t>%</m:t>
        </m:r>
      </m:oMath>
    </w:p>
    <w:p>
      <w:pPr>
        <w:pStyle w:val="Compact"/>
        <w:numPr>
          <w:ilvl w:val="0"/>
          <w:numId w:val="1005"/>
        </w:numPr>
      </w:pPr>
      <w:r>
        <w:t xml:space="preserve">Risk premium of complete portfolio = 6% − 2% = 4% (half of the risky portfolio’s risk premium)</w:t>
      </w:r>
    </w:p>
    <w:p>
      <w:pPr>
        <w:pStyle w:val="Compact"/>
        <w:numPr>
          <w:ilvl w:val="0"/>
          <w:numId w:val="1005"/>
        </w:numPr>
      </w:pPr>
      <m:oMath>
        <m:sSub>
          <m:e>
            <m:r>
              <m:t>σ</m:t>
            </m:r>
          </m:e>
          <m:sub>
            <m:r>
              <m:t>C</m:t>
            </m:r>
          </m:sub>
        </m:sSub>
        <m:r>
          <m:rPr>
            <m:sty m:val="p"/>
          </m:rPr>
          <m:t>=</m:t>
        </m:r>
        <m:r>
          <m:t>0.5</m:t>
        </m:r>
        <m:r>
          <m:rPr>
            <m:sty m:val="p"/>
          </m:rPr>
          <m:t>×</m:t>
        </m:r>
        <m:r>
          <m:t>22</m:t>
        </m:r>
        <m:r>
          <m:rPr>
            <m:sty m:val="p"/>
          </m:rPr>
          <m:t>%</m:t>
        </m:r>
        <m:r>
          <m:rPr>
            <m:sty m:val="p"/>
          </m:rPr>
          <m:t>=</m:t>
        </m:r>
        <m:r>
          <m:t>11</m:t>
        </m:r>
        <m:r>
          <m:rPr>
            <m:sty m:val="p"/>
          </m:rPr>
          <m:t>%</m:t>
        </m:r>
      </m:oMath>
      <w:r>
        <w:t xml:space="preserve"> </w:t>
      </w:r>
      <w:r>
        <w:t xml:space="preserve">(half of the risky portfolio’s standard deviation)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90" name="Picture"/>
                  <a:graphic>
                    <a:graphicData uri="http://schemas.openxmlformats.org/drawingml/2006/picture">
                      <pic:pic>
                        <pic:nvPicPr>
                          <pic:cNvPr descr="/Applications/quarto/share/formats/docx/tip.png" id="9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5.7</w:t>
            </w:r>
          </w:p>
        </w:tc>
      </w:tr>
      <w:tr>
        <w:trPr>
          <w:cantSplit/>
        </w:trPr>
        <w:tc>
          <w:tcPr>
            <w:tcMar>
              <w:top w:w="108" w:type="dxa"/>
              <w:bottom w:w="108" w:type="dxa"/>
            </w:tcMar>
          </w:tcPr>
          <w:p>
            <w:pPr>
              <w:pStyle w:val="BodyText"/>
            </w:pPr>
            <w:pPr>
              <w:spacing w:before="16" w:after="16"/>
            </w:pPr>
            <w:r>
              <w:t xml:space="preserve">What are the expected return, risk premium, standard deviation, and ratio of risk premium to standard deviation for a complete portfolio with</w:t>
            </w:r>
            <w:r>
              <w:t xml:space="preserve"> </w:t>
            </w:r>
            <m:oMath>
              <m:r>
                <m:t>y</m:t>
              </m:r>
              <m:r>
                <m:rPr>
                  <m:sty m:val="p"/>
                </m:rPr>
                <m:t>=</m:t>
              </m:r>
              <m:r>
                <m:t>0.75</m:t>
              </m:r>
            </m:oMath>
            <w:r>
              <w:t xml:space="preserve">?</w:t>
            </w:r>
          </w:p>
          <w:p/>
        </w:tc>
      </w:tr>
    </w:tbl>
    <w:bookmarkEnd w:id="92"/>
    <w:bookmarkStart w:id="97" w:name="the-capital-allocation-line"/>
    <w:p>
      <w:pPr>
        <w:pStyle w:val="Heading3"/>
      </w:pPr>
      <w:r>
        <w:t xml:space="preserve">5.5.3 The Capital Allocation Line</w:t>
      </w:r>
    </w:p>
    <w:p>
      <w:pPr>
        <w:pStyle w:val="FirstParagraph"/>
      </w:pPr>
      <w:r>
        <w:t xml:space="preserve">The</w:t>
      </w:r>
      <w:r>
        <w:t xml:space="preserve"> </w:t>
      </w:r>
      <w:r>
        <w:rPr>
          <w:b/>
          <w:bCs/>
        </w:rPr>
        <w:t xml:space="preserve">capital allocation line (CAL)</w:t>
      </w:r>
      <w:r>
        <w:t xml:space="preserve"> </w:t>
      </w:r>
      <w:r>
        <w:t xml:space="preserve">depicts the risk-return combinations available by varying capital allocation (choosing different values of</w:t>
      </w:r>
      <w:r>
        <w:t xml:space="preserve"> </w:t>
      </w:r>
      <m:oMath>
        <m:r>
          <m:t>y</m:t>
        </m:r>
      </m:oMath>
      <w:r>
        <w:t xml:space="preserve">). The slope,</w:t>
      </w:r>
      <w:r>
        <w:t xml:space="preserve"> </w:t>
      </w:r>
      <m:oMath>
        <m:r>
          <m:t>S</m:t>
        </m:r>
      </m:oMath>
      <w:r>
        <w:t xml:space="preserve">, of the CAL equals the increase in expected return that an investor can obtain per unit of additional standard deviation — the Sharpe ratio:</w:t>
      </w:r>
    </w:p>
    <w:p>
      <w:pPr>
        <w:pStyle w:val="BodyText"/>
      </w:pPr>
      <w:bookmarkStart w:id="93" w:name="eq-cal-slope"/>
      <m:oMathPara>
        <m:oMathParaPr>
          <m:jc m:val="center"/>
        </m:oMathParaPr>
        <m:oMath>
          <m:r>
            <m:t>S</m:t>
          </m:r>
          <m:r>
            <m:rPr>
              <m:sty m:val="p"/>
            </m:rPr>
            <m:t>=</m:t>
          </m:r>
          <m:f>
            <m:fPr>
              <m:type m:val="bar"/>
            </m:fPr>
            <m:num>
              <m:r>
                <m:t>E</m:t>
              </m:r>
              <m:d>
                <m:dPr>
                  <m:begChr m:val="("/>
                  <m:sepChr m:val=""/>
                  <m:endChr m:val=")"/>
                  <m:grow/>
                </m:dPr>
                <m:e>
                  <m:sSub>
                    <m:e>
                      <m:r>
                        <m:t>r</m:t>
                      </m:r>
                    </m:e>
                    <m:sub>
                      <m:r>
                        <m:t>P</m:t>
                      </m:r>
                    </m:sub>
                  </m:sSub>
                </m:e>
              </m:d>
              <m:r>
                <m:rPr>
                  <m:sty m:val="p"/>
                </m:rPr>
                <m:t>−</m:t>
              </m:r>
              <m:sSub>
                <m:e>
                  <m:r>
                    <m:t>r</m:t>
                  </m:r>
                </m:e>
                <m:sub>
                  <m:r>
                    <m:t>f</m:t>
                  </m:r>
                </m:sub>
              </m:sSub>
            </m:num>
            <m:den>
              <m:sSub>
                <m:e>
                  <m:r>
                    <m:t>σ</m:t>
                  </m:r>
                </m:e>
                <m:sub>
                  <m:r>
                    <m:t>P</m:t>
                  </m:r>
                </m:sub>
              </m:sSub>
            </m:den>
          </m:f>
          <m:r>
            <m:rPr>
              <m:sty m:val="p"/>
            </m:rPr>
            <m:t>=</m:t>
          </m:r>
          <m:f>
            <m:fPr>
              <m:type m:val="bar"/>
            </m:fPr>
            <m:num>
              <m:r>
                <m:t>10</m:t>
              </m:r>
              <m:r>
                <m:rPr>
                  <m:sty m:val="p"/>
                </m:rPr>
                <m:t>−</m:t>
              </m:r>
              <m:r>
                <m:t>2</m:t>
              </m:r>
            </m:num>
            <m:den>
              <m:r>
                <m:t>22</m:t>
              </m:r>
            </m:den>
          </m:f>
          <m:r>
            <m:rPr>
              <m:sty m:val="p"/>
            </m:rPr>
            <m:t>=</m:t>
          </m:r>
          <m:r>
            <m:t>0.36</m:t>
          </m:r>
          <m:r>
            <m:t>  </m:t>
          </m:r>
          <m:d>
            <m:dPr>
              <m:begChr m:val="("/>
              <m:sepChr m:val=""/>
              <m:endChr m:val=")"/>
              <m:grow/>
            </m:dPr>
            <m:e>
              <m:r>
                <m:t>19</m:t>
              </m:r>
            </m:e>
          </m:d>
        </m:oMath>
      </m:oMathPara>
      <w:bookmarkEnd w:id="93"/>
    </w:p>
    <w:p>
      <w:pPr>
        <w:pStyle w:val="FirstParagraph"/>
      </w:pPr>
      <w:r>
        <w:t xml:space="preserve">The Sharpe ratio is the same for all complete portfolios that plot on the capital allocation line. While the risk-return combinations differ according to the investor’s choice of</w:t>
      </w:r>
      <w:r>
        <w:t xml:space="preserve"> </w:t>
      </w:r>
      <m:oMath>
        <m:r>
          <m:t>y</m:t>
        </m:r>
      </m:oMath>
      <w:r>
        <w:t xml:space="preserve">, the ratio of reward to risk is constant.</w:t>
      </w:r>
    </w:p>
    <w:p>
      <w:pPr>
        <w:pStyle w:val="CaptionedFigure"/>
      </w:pPr>
      <w:r>
        <w:drawing>
          <wp:inline>
            <wp:extent cx="5334000" cy="3063593"/>
            <wp:effectExtent b="0" l="0" r="0" t="0"/>
            <wp:docPr descr="Figure 5.7 — The investment opportunity set with a risky asset and a risk-free asset" title="" id="95" name="Picture"/>
            <a:graphic>
              <a:graphicData uri="http://schemas.openxmlformats.org/drawingml/2006/picture">
                <pic:pic>
                  <pic:nvPicPr>
                    <pic:cNvPr descr="../assets/images/Ch05/Figure_5_7_Investment_Opportunity_Set.png" id="96" name="Picture"/>
                    <pic:cNvPicPr>
                      <a:picLocks noChangeArrowheads="1" noChangeAspect="1"/>
                    </pic:cNvPicPr>
                  </pic:nvPicPr>
                  <pic:blipFill>
                    <a:blip r:embed="rId94"/>
                    <a:stretch>
                      <a:fillRect/>
                    </a:stretch>
                  </pic:blipFill>
                  <pic:spPr bwMode="auto">
                    <a:xfrm>
                      <a:off x="0" y="0"/>
                      <a:ext cx="5334000" cy="3063593"/>
                    </a:xfrm>
                    <a:prstGeom prst="rect">
                      <a:avLst/>
                    </a:prstGeom>
                    <a:noFill/>
                    <a:ln w="9525">
                      <a:noFill/>
                      <a:headEnd/>
                      <a:tailEnd/>
                    </a:ln>
                  </pic:spPr>
                </pic:pic>
              </a:graphicData>
            </a:graphic>
          </wp:inline>
        </w:drawing>
      </w:r>
    </w:p>
    <w:p>
      <w:pPr>
        <w:pStyle w:val="ImageCaption"/>
      </w:pPr>
      <w:r>
        <w:t xml:space="preserve">Figure 5.7 — The investment opportunity set with a risky asset and a risk-free asset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pPr>
            <w:r>
              <w:t xml:space="preserve">Expected Return</w:t>
            </w:r>
          </w:p>
        </w:tc>
        <w:tc>
          <w:tcPr/>
          <w:p>
            <w:pPr>
              <w:pStyle w:val="Compact"/>
              <w:jc w:val="center"/>
            </w:pPr>
            <w:r>
              <w:t xml:space="preserve">Risk Premium</w:t>
            </w:r>
          </w:p>
        </w:tc>
        <w:tc>
          <w:tcPr/>
          <w:p>
            <w:pPr>
              <w:pStyle w:val="Compact"/>
              <w:jc w:val="center"/>
            </w:pPr>
            <w:r>
              <w:t xml:space="preserve">Standard Deviation</w:t>
            </w:r>
          </w:p>
        </w:tc>
        <w:tc>
          <w:tcPr/>
          <w:p>
            <w:pPr>
              <w:pStyle w:val="Compact"/>
              <w:jc w:val="center"/>
            </w:pPr>
            <w:r>
              <w:t xml:space="preserve">Sharpe Ratio</w:t>
            </w:r>
          </w:p>
        </w:tc>
      </w:tr>
      <w:tr>
        <w:tc>
          <w:tcPr/>
          <w:p>
            <w:pPr>
              <w:pStyle w:val="Compact"/>
              <w:jc w:val="left"/>
            </w:pPr>
            <w:r>
              <w:t xml:space="preserve">Portfolio P</w:t>
            </w:r>
          </w:p>
        </w:tc>
        <w:tc>
          <w:tcPr/>
          <w:p>
            <w:pPr>
              <w:pStyle w:val="Compact"/>
              <w:jc w:val="center"/>
            </w:pPr>
            <w:r>
              <w:t xml:space="preserve">10%</w:t>
            </w:r>
          </w:p>
        </w:tc>
        <w:tc>
          <w:tcPr/>
          <w:p>
            <w:pPr>
              <w:pStyle w:val="Compact"/>
              <w:jc w:val="center"/>
            </w:pPr>
            <w:r>
              <w:t xml:space="preserve">8%</w:t>
            </w:r>
          </w:p>
        </w:tc>
        <w:tc>
          <w:tcPr/>
          <w:p>
            <w:pPr>
              <w:pStyle w:val="Compact"/>
              <w:jc w:val="center"/>
            </w:pPr>
            <w:r>
              <w:t xml:space="preserve">22%</w:t>
            </w:r>
          </w:p>
        </w:tc>
        <w:tc>
          <w:tcPr/>
          <w:p>
            <w:pPr>
              <w:pStyle w:val="Compact"/>
              <w:jc w:val="center"/>
            </w:pPr>
            <w:r>
              <w:t xml:space="preserve">8/22 = 0.36</w:t>
            </w:r>
          </w:p>
        </w:tc>
      </w:tr>
      <w:tr>
        <w:tc>
          <w:tcPr/>
          <w:p>
            <w:pPr>
              <w:pStyle w:val="Compact"/>
              <w:jc w:val="left"/>
            </w:pPr>
            <w:r>
              <w:t xml:space="preserve">Portfolio C (</w:t>
            </w:r>
            <m:oMath>
              <m:r>
                <m:t>y</m:t>
              </m:r>
              <m:r>
                <m:rPr>
                  <m:sty m:val="p"/>
                </m:rPr>
                <m:t>=</m:t>
              </m:r>
              <m:r>
                <m:t>0.5</m:t>
              </m:r>
            </m:oMath>
            <w:r>
              <w:t xml:space="preserve">)</w:t>
            </w:r>
          </w:p>
        </w:tc>
        <w:tc>
          <w:tcPr/>
          <w:p>
            <w:pPr>
              <w:pStyle w:val="Compact"/>
              <w:jc w:val="center"/>
            </w:pPr>
            <w:r>
              <w:t xml:space="preserve">6%</w:t>
            </w:r>
          </w:p>
        </w:tc>
        <w:tc>
          <w:tcPr/>
          <w:p>
            <w:pPr>
              <w:pStyle w:val="Compact"/>
              <w:jc w:val="center"/>
            </w:pPr>
            <w:r>
              <w:t xml:space="preserve">4%</w:t>
            </w:r>
          </w:p>
        </w:tc>
        <w:tc>
          <w:tcPr/>
          <w:p>
            <w:pPr>
              <w:pStyle w:val="Compact"/>
              <w:jc w:val="center"/>
            </w:pPr>
            <w:r>
              <w:t xml:space="preserve">11%</w:t>
            </w:r>
          </w:p>
        </w:tc>
        <w:tc>
          <w:tcPr/>
          <w:p>
            <w:pPr>
              <w:pStyle w:val="Compact"/>
              <w:jc w:val="center"/>
            </w:pPr>
            <w:r>
              <w:t xml:space="preserve">4/11 = 0.36</w:t>
            </w:r>
          </w:p>
        </w:tc>
      </w:tr>
    </w:tbl>
    <w:p>
      <w:pPr>
        <w:pStyle w:val="BodyText"/>
      </w:pPr>
      <w:r>
        <w:rPr>
          <w:b/>
          <w:bCs/>
        </w:rPr>
        <w:t xml:space="preserve">Example 5.7 — Levered Complete Portfolios:</w:t>
      </w:r>
      <w:r>
        <w:t xml:space="preserve"> </w:t>
      </w:r>
      <w:r>
        <w:t xml:space="preserve">Suppose the investment budget is $300,000, and an investor borrows an additional $120,000, investing the $420,000 in the risky asset. Then</w:t>
      </w:r>
      <w:r>
        <w:t xml:space="preserve"> </w:t>
      </w:r>
      <m:oMath>
        <m:r>
          <m:t>y</m:t>
        </m:r>
        <m:r>
          <m:rPr>
            <m:sty m:val="p"/>
          </m:rPr>
          <m:t>=</m:t>
        </m:r>
        <m:r>
          <m:t>420</m:t>
        </m:r>
        <m:r>
          <m:rPr>
            <m:sty m:val="p"/>
          </m:rPr>
          <m:t>,</m:t>
        </m:r>
        <m:r>
          <m:t>000</m:t>
        </m:r>
        <m:r>
          <m:rPr>
            <m:sty m:val="p"/>
          </m:rPr>
          <m:t>/</m:t>
        </m:r>
        <m:r>
          <m:t>300</m:t>
        </m:r>
        <m:r>
          <m:rPr>
            <m:sty m:val="p"/>
          </m:rPr>
          <m:t>,</m:t>
        </m:r>
        <m:r>
          <m:t>000</m:t>
        </m:r>
        <m:r>
          <m:rPr>
            <m:sty m:val="p"/>
          </m:rPr>
          <m:t>=</m:t>
        </m:r>
        <m:r>
          <m:t>1.4</m:t>
        </m:r>
      </m:oMath>
      <w:r>
        <w:t xml:space="preserve"> </w:t>
      </w:r>
      <w:r>
        <w:t xml:space="preserve">and</w:t>
      </w:r>
      <w:r>
        <w:t xml:space="preserve"> </w:t>
      </w:r>
      <m:oMath>
        <m:r>
          <m:t>1</m:t>
        </m:r>
        <m:r>
          <m:rPr>
            <m:sty m:val="p"/>
          </m:rPr>
          <m:t>−</m:t>
        </m:r>
        <m:r>
          <m:t>y</m:t>
        </m:r>
        <m:r>
          <m:rPr>
            <m:sty m:val="p"/>
          </m:rPr>
          <m:t>=</m:t>
        </m:r>
        <m:r>
          <m:rPr>
            <m:sty m:val="p"/>
          </m:rPr>
          <m:t>−</m:t>
        </m:r>
        <m:r>
          <m:t>0.4</m:t>
        </m:r>
      </m:oMath>
      <w:r>
        <w:t xml:space="preserve"> </w:t>
      </w:r>
      <w:r>
        <w:t xml:space="preserve">(a borrowing position).</w:t>
      </w:r>
    </w:p>
    <w:p>
      <w:pPr>
        <w:pStyle w:val="Compact"/>
        <w:numPr>
          <w:ilvl w:val="0"/>
          <w:numId w:val="1006"/>
        </w:numPr>
      </w:pPr>
      <m:oMath>
        <m:r>
          <m:t>E</m:t>
        </m:r>
        <m:d>
          <m:dPr>
            <m:begChr m:val="("/>
            <m:sepChr m:val=""/>
            <m:endChr m:val=")"/>
            <m:grow/>
          </m:dPr>
          <m:e>
            <m:sSub>
              <m:e>
                <m:r>
                  <m:t>r</m:t>
                </m:r>
              </m:e>
              <m:sub>
                <m:r>
                  <m:t>C</m:t>
                </m:r>
              </m:sub>
            </m:sSub>
          </m:e>
        </m:d>
        <m:r>
          <m:rPr>
            <m:sty m:val="p"/>
          </m:rPr>
          <m:t>=</m:t>
        </m:r>
        <m:d>
          <m:dPr>
            <m:begChr m:val="("/>
            <m:sepChr m:val=""/>
            <m:endChr m:val=")"/>
            <m:grow/>
          </m:dPr>
          <m:e>
            <m:r>
              <m:rPr>
                <m:sty m:val="p"/>
              </m:rPr>
              <m:t>−</m:t>
            </m:r>
            <m:r>
              <m:t>0.4</m:t>
            </m:r>
          </m:e>
        </m:d>
        <m:r>
          <m:rPr>
            <m:sty m:val="p"/>
          </m:rPr>
          <m:t>×</m:t>
        </m:r>
        <m:r>
          <m:t>2</m:t>
        </m:r>
        <m:r>
          <m:rPr>
            <m:sty m:val="p"/>
          </m:rPr>
          <m:t>%</m:t>
        </m:r>
        <m:r>
          <m:rPr>
            <m:sty m:val="p"/>
          </m:rPr>
          <m:t>+</m:t>
        </m:r>
        <m:r>
          <m:t>1.4</m:t>
        </m:r>
        <m:r>
          <m:rPr>
            <m:sty m:val="p"/>
          </m:rPr>
          <m:t>×</m:t>
        </m:r>
        <m:r>
          <m:t>10</m:t>
        </m:r>
        <m:r>
          <m:rPr>
            <m:sty m:val="p"/>
          </m:rPr>
          <m:t>%</m:t>
        </m:r>
        <m:r>
          <m:rPr>
            <m:sty m:val="p"/>
          </m:rPr>
          <m:t>=</m:t>
        </m:r>
        <m:r>
          <m:t>13.2</m:t>
        </m:r>
        <m:r>
          <m:rPr>
            <m:sty m:val="p"/>
          </m:rPr>
          <m:t>%</m:t>
        </m:r>
      </m:oMath>
    </w:p>
    <w:p>
      <w:pPr>
        <w:pStyle w:val="Compact"/>
        <w:numPr>
          <w:ilvl w:val="0"/>
          <w:numId w:val="1006"/>
        </w:numPr>
      </w:pPr>
      <m:oMath>
        <m:sSub>
          <m:e>
            <m:r>
              <m:t>σ</m:t>
            </m:r>
          </m:e>
          <m:sub>
            <m:r>
              <m:t>C</m:t>
            </m:r>
          </m:sub>
        </m:sSub>
        <m:r>
          <m:rPr>
            <m:sty m:val="p"/>
          </m:rPr>
          <m:t>=</m:t>
        </m:r>
        <m:r>
          <m:t>1.4</m:t>
        </m:r>
        <m:r>
          <m:rPr>
            <m:sty m:val="p"/>
          </m:rPr>
          <m:t>×</m:t>
        </m:r>
        <m:r>
          <m:t>22</m:t>
        </m:r>
        <m:r>
          <m:rPr>
            <m:sty m:val="p"/>
          </m:rPr>
          <m:t>%</m:t>
        </m:r>
        <m:r>
          <m:rPr>
            <m:sty m:val="p"/>
          </m:rPr>
          <m:t>=</m:t>
        </m:r>
        <m:r>
          <m:t>30.8</m:t>
        </m:r>
        <m:r>
          <m:rPr>
            <m:sty m:val="p"/>
          </m:rPr>
          <m:t>%</m:t>
        </m:r>
      </m:oMath>
    </w:p>
    <w:p>
      <w:pPr>
        <w:pStyle w:val="Compact"/>
        <w:numPr>
          <w:ilvl w:val="0"/>
          <w:numId w:val="1006"/>
        </w:numPr>
      </w:pPr>
      <w:r>
        <w:t xml:space="preserve">Sharpe ratio =</w:t>
      </w:r>
      <w:r>
        <w:t xml:space="preserve"> </w:t>
      </w:r>
      <m:oMath>
        <m:r>
          <m:t>11.2</m:t>
        </m:r>
        <m:r>
          <m:rPr>
            <m:sty m:val="p"/>
          </m:rPr>
          <m:t>%</m:t>
        </m:r>
        <m:r>
          <m:rPr>
            <m:sty m:val="p"/>
          </m:rPr>
          <m:t>/</m:t>
        </m:r>
        <m:r>
          <m:t>30.8</m:t>
        </m:r>
        <m:r>
          <m:rPr>
            <m:sty m:val="p"/>
          </m:rPr>
          <m:t>%</m:t>
        </m:r>
        <m:r>
          <m:rPr>
            <m:sty m:val="p"/>
          </m:rPr>
          <m:t>=</m:t>
        </m:r>
        <m:r>
          <m:t>0.36</m:t>
        </m:r>
      </m:oMath>
      <w:r>
        <w:t xml:space="preserve"> </w:t>
      </w:r>
      <w:r>
        <w:t xml:space="preserve">(unchanged)</w:t>
      </w:r>
    </w:p>
    <w:bookmarkEnd w:id="97"/>
    <w:bookmarkStart w:id="99" w:name="risk-aversion-and-capital-allocation"/>
    <w:p>
      <w:pPr>
        <w:pStyle w:val="Heading3"/>
      </w:pPr>
      <w:r>
        <w:t xml:space="preserve">5.5.4 Risk Aversion and Capital Allocation</w:t>
      </w:r>
    </w:p>
    <w:p>
      <w:pPr>
        <w:pStyle w:val="FirstParagraph"/>
      </w:pPr>
      <w:r>
        <w:t xml:space="preserve">More risk-averse investors will choose portfolios near point</w:t>
      </w:r>
      <w:r>
        <w:t xml:space="preserve"> </w:t>
      </w:r>
      <m:oMath>
        <m:r>
          <m:t>F</m:t>
        </m:r>
      </m:oMath>
      <w:r>
        <w:t xml:space="preserve"> </w:t>
      </w:r>
      <w:r>
        <w:t xml:space="preserve">(risk-free) on the capital allocation line. More risk-tolerant investors will choose points closer to</w:t>
      </w:r>
      <w:r>
        <w:t xml:space="preserve"> </w:t>
      </w:r>
      <m:oMath>
        <m:r>
          <m:t>P</m:t>
        </m:r>
      </m:oMath>
      <w:r>
        <w:t xml:space="preserve">, or even beyond</w:t>
      </w:r>
      <w:r>
        <w:t xml:space="preserve"> </w:t>
      </w:r>
      <m:oMath>
        <m:r>
          <m:t>P</m:t>
        </m:r>
      </m:oMath>
      <w:r>
        <w:t xml:space="preserve"> </w:t>
      </w:r>
      <w:r>
        <w:t xml:space="preserve">using leverage.</w:t>
      </w:r>
    </w:p>
    <w:p>
      <w:pPr>
        <w:pStyle w:val="BodyText"/>
      </w:pPr>
      <w:r>
        <w:t xml:space="preserve">The optimal capital allocation to the risky portfolio is found by dividing the risky portfolio’s price of risk by the investor’s risk aversion:</w:t>
      </w:r>
    </w:p>
    <w:p>
      <w:pPr>
        <w:pStyle w:val="BodyText"/>
      </w:pPr>
      <w:bookmarkStart w:id="98" w:name="eq-optimal-y"/>
      <m:oMathPara>
        <m:oMathParaPr>
          <m:jc m:val="center"/>
        </m:oMathParaPr>
        <m:oMath>
          <m:sSup>
            <m:e>
              <m:r>
                <m:t>y</m:t>
              </m:r>
            </m:e>
            <m:sup>
              <m:r>
                <m:rPr>
                  <m:sty m:val="p"/>
                </m:rPr>
                <m:t>*</m:t>
              </m:r>
            </m:sup>
          </m:sSup>
          <m:r>
            <m:rPr>
              <m:sty m:val="p"/>
            </m:rPr>
            <m:t>=</m:t>
          </m:r>
          <m:f>
            <m:fPr>
              <m:type m:val="bar"/>
            </m:fPr>
            <m:num>
              <m:r>
                <m:t>E</m:t>
              </m:r>
              <m:d>
                <m:dPr>
                  <m:begChr m:val="("/>
                  <m:sepChr m:val=""/>
                  <m:endChr m:val=")"/>
                  <m:grow/>
                </m:dPr>
                <m:e>
                  <m:sSub>
                    <m:e>
                      <m:r>
                        <m:t>r</m:t>
                      </m:r>
                    </m:e>
                    <m:sub>
                      <m:r>
                        <m:t>P</m:t>
                      </m:r>
                    </m:sub>
                  </m:sSub>
                </m:e>
              </m:d>
              <m:r>
                <m:rPr>
                  <m:sty m:val="p"/>
                </m:rPr>
                <m:t>−</m:t>
              </m:r>
              <m:sSub>
                <m:e>
                  <m:r>
                    <m:t>r</m:t>
                  </m:r>
                </m:e>
                <m:sub>
                  <m:r>
                    <m:t>f</m:t>
                  </m:r>
                </m:sub>
              </m:sSub>
            </m:num>
            <m:den>
              <m:r>
                <m:t>A</m:t>
              </m:r>
              <m:r>
                <m:t> </m:t>
              </m:r>
              <m:sSubSup>
                <m:e>
                  <m:r>
                    <m:t>σ</m:t>
                  </m:r>
                </m:e>
                <m:sub>
                  <m:r>
                    <m:t>P</m:t>
                  </m:r>
                </m:sub>
                <m:sup>
                  <m:r>
                    <m:t>2</m:t>
                  </m:r>
                </m:sup>
              </m:sSubSup>
            </m:den>
          </m:f>
          <m:r>
            <m:t>  </m:t>
          </m:r>
          <m:d>
            <m:dPr>
              <m:begChr m:val="("/>
              <m:sepChr m:val=""/>
              <m:endChr m:val=")"/>
              <m:grow/>
            </m:dPr>
            <m:e>
              <m:r>
                <m:t>20</m:t>
              </m:r>
            </m:e>
          </m:d>
        </m:oMath>
      </m:oMathPara>
      <w:bookmarkEnd w:id="98"/>
    </w:p>
    <w:p>
      <w:pPr>
        <w:pStyle w:val="FirstParagraph"/>
      </w:pPr>
      <w:r>
        <w:t xml:space="preserve">This equation has the intuitive implication that the optimal allocation to the risky portfolio is directly proportional to its price of risk and inversely proportional to the investor’s risk aversion.</w:t>
      </w:r>
    </w:p>
    <w:p>
      <w:r>
        <w:pict>
          <v:rect style="width:0;height:1.5pt" o:hralign="center" o:hrstd="t" o:hr="t"/>
        </w:pict>
      </w:r>
    </w:p>
    <w:bookmarkEnd w:id="99"/>
    <w:bookmarkEnd w:id="100"/>
    <w:bookmarkStart w:id="103" w:name="Xb8ac5f7de0df5c6694d8bc76834e00f2e12b7d7"/>
    <w:p>
      <w:pPr>
        <w:pStyle w:val="Heading2"/>
      </w:pPr>
      <w:r>
        <w:t xml:space="preserve">5.6 Passive Strategies and the Capital Market Line</w:t>
      </w:r>
    </w:p>
    <w:p>
      <w:pPr>
        <w:pStyle w:val="FirstParagraph"/>
      </w:pPr>
      <w:r>
        <w:t xml:space="preserve">A</w:t>
      </w:r>
      <w:r>
        <w:t xml:space="preserve"> </w:t>
      </w:r>
      <w:r>
        <w:rPr>
          <w:b/>
          <w:bCs/>
        </w:rPr>
        <w:t xml:space="preserve">passive strategy</w:t>
      </w:r>
      <w:r>
        <w:t xml:space="preserve"> </w:t>
      </w:r>
      <w:r>
        <w:t xml:space="preserve">is based on the premise that securities are fairly priced, and thus avoids the costs involved in undertaking security analysis. Such strategies are called</w:t>
      </w:r>
      <w:r>
        <w:t xml:space="preserve"> </w:t>
      </w:r>
      <w:r>
        <w:rPr>
          <w:i/>
          <w:iCs/>
        </w:rPr>
        <w:t xml:space="preserve">indexing</w:t>
      </w:r>
      <w:r>
        <w:t xml:space="preserve">: the investor chooses a portfolio of all the stocks in a broad market index such as the S&amp;P 500.</w:t>
      </w:r>
    </w:p>
    <w:p>
      <w:pPr>
        <w:pStyle w:val="BodyText"/>
      </w:pPr>
      <w:r>
        <w:t xml:space="preserve">The</w:t>
      </w:r>
      <w:r>
        <w:t xml:space="preserve"> </w:t>
      </w:r>
      <w:r>
        <w:rPr>
          <w:b/>
          <w:bCs/>
        </w:rPr>
        <w:t xml:space="preserve">capital market line (CML)</w:t>
      </w:r>
      <w:r>
        <w:t xml:space="preserve"> </w:t>
      </w:r>
      <w:r>
        <w:t xml:space="preserve">is the capital allocation line provided by one-month T-bills and a broad index of common stocks. A passive strategy using the broad stock market index as the risky portfolio generates an investment opportunity set represented by the CML.</w:t>
      </w:r>
    </w:p>
    <w:bookmarkStart w:id="101" w:name="X41f74a1d9caa246f5891b6cefcb3c570c9d7539"/>
    <w:p>
      <w:pPr>
        <w:pStyle w:val="Heading3"/>
      </w:pPr>
      <w:r>
        <w:t xml:space="preserve">5.6.1 Historical Evidence on the Capital Market Line</w:t>
      </w:r>
    </w:p>
    <w:p>
      <w:pPr>
        <w:pStyle w:val="TableCaption"/>
      </w:pPr>
      <w:r>
        <w:t xml:space="preserve">Table 5.5 — Excess returns statistics for the market index</w:t>
      </w:r>
    </w:p>
    <w:tbl>
      <w:tblPr>
        <w:tblStyle w:val="Table"/>
        <w:tblW w:type="auto" w:w="0"/>
        <w:tblLook w:firstRow="1" w:lastRow="0" w:firstColumn="0" w:lastColumn="0" w:noHBand="0" w:noVBand="0" w:val="0020"/>
        <w:tblCaption w:val="Table 5.5 — Excess returns statistics for the market index"/>
      </w:tblPr>
      <w:tblGrid>
        <w:gridCol w:w="1980"/>
        <w:gridCol w:w="1980"/>
        <w:gridCol w:w="1980"/>
        <w:gridCol w:w="1980"/>
      </w:tblGrid>
      <w:tr>
        <w:trPr>
          <w:tblHeader w:val="on"/>
        </w:trPr>
        <w:tc>
          <w:tcPr/>
          <w:p>
            <w:pPr>
              <w:pStyle w:val="Compact"/>
              <w:jc w:val="left"/>
            </w:pPr>
            <w:r>
              <w:t xml:space="preserve">Period</w:t>
            </w:r>
          </w:p>
        </w:tc>
        <w:tc>
          <w:tcPr/>
          <w:p>
            <w:pPr>
              <w:pStyle w:val="Compact"/>
              <w:jc w:val="center"/>
            </w:pPr>
            <w:r>
              <w:t xml:space="preserve">Average</w:t>
            </w:r>
          </w:p>
        </w:tc>
        <w:tc>
          <w:tcPr/>
          <w:p>
            <w:pPr>
              <w:pStyle w:val="Compact"/>
              <w:jc w:val="center"/>
            </w:pPr>
            <w:r>
              <w:t xml:space="preserve">Standard Deviation</w:t>
            </w:r>
          </w:p>
        </w:tc>
        <w:tc>
          <w:tcPr/>
          <w:p>
            <w:pPr>
              <w:pStyle w:val="Compact"/>
              <w:jc w:val="center"/>
            </w:pPr>
            <w:r>
              <w:t xml:space="preserve">Sharpe Ratio</w:t>
            </w:r>
          </w:p>
        </w:tc>
      </w:tr>
      <w:tr>
        <w:tc>
          <w:tcPr/>
          <w:p>
            <w:pPr>
              <w:pStyle w:val="Compact"/>
              <w:jc w:val="left"/>
            </w:pPr>
            <w:r>
              <w:t xml:space="preserve">1927–2022</w:t>
            </w:r>
          </w:p>
        </w:tc>
        <w:tc>
          <w:tcPr/>
          <w:p>
            <w:pPr>
              <w:pStyle w:val="Compact"/>
              <w:jc w:val="center"/>
            </w:pPr>
            <w:r>
              <w:t xml:space="preserve">8.55</w:t>
            </w:r>
          </w:p>
        </w:tc>
        <w:tc>
          <w:tcPr/>
          <w:p>
            <w:pPr>
              <w:pStyle w:val="Compact"/>
              <w:jc w:val="center"/>
            </w:pPr>
            <w:r>
              <w:t xml:space="preserve">20.39</w:t>
            </w:r>
          </w:p>
        </w:tc>
        <w:tc>
          <w:tcPr/>
          <w:p>
            <w:pPr>
              <w:pStyle w:val="Compact"/>
              <w:jc w:val="center"/>
            </w:pPr>
            <w:r>
              <w:t xml:space="preserve">0.42</w:t>
            </w:r>
          </w:p>
        </w:tc>
      </w:tr>
      <w:tr>
        <w:tc>
          <w:tcPr/>
          <w:p>
            <w:pPr>
              <w:pStyle w:val="Compact"/>
              <w:jc w:val="left"/>
            </w:pPr>
            <w:r>
              <w:t xml:space="preserve">1927–1950</w:t>
            </w:r>
          </w:p>
        </w:tc>
        <w:tc>
          <w:tcPr/>
          <w:p>
            <w:pPr>
              <w:pStyle w:val="Compact"/>
              <w:jc w:val="center"/>
            </w:pPr>
            <w:r>
              <w:t xml:space="preserve">9.33</w:t>
            </w:r>
          </w:p>
        </w:tc>
        <w:tc>
          <w:tcPr/>
          <w:p>
            <w:pPr>
              <w:pStyle w:val="Compact"/>
              <w:jc w:val="center"/>
            </w:pPr>
            <w:r>
              <w:t xml:space="preserve">26.57</w:t>
            </w:r>
          </w:p>
        </w:tc>
        <w:tc>
          <w:tcPr/>
          <w:p>
            <w:pPr>
              <w:pStyle w:val="Compact"/>
              <w:jc w:val="center"/>
            </w:pPr>
            <w:r>
              <w:t xml:space="preserve">0.35</w:t>
            </w:r>
          </w:p>
        </w:tc>
      </w:tr>
      <w:tr>
        <w:tc>
          <w:tcPr/>
          <w:p>
            <w:pPr>
              <w:pStyle w:val="Compact"/>
              <w:jc w:val="left"/>
            </w:pPr>
            <w:r>
              <w:t xml:space="preserve">1951–1974</w:t>
            </w:r>
          </w:p>
        </w:tc>
        <w:tc>
          <w:tcPr/>
          <w:p>
            <w:pPr>
              <w:pStyle w:val="Compact"/>
              <w:jc w:val="center"/>
            </w:pPr>
            <w:r>
              <w:t xml:space="preserve">6.63</w:t>
            </w:r>
          </w:p>
        </w:tc>
        <w:tc>
          <w:tcPr/>
          <w:p>
            <w:pPr>
              <w:pStyle w:val="Compact"/>
              <w:jc w:val="center"/>
            </w:pPr>
            <w:r>
              <w:t xml:space="preserve">20.32</w:t>
            </w:r>
          </w:p>
        </w:tc>
        <w:tc>
          <w:tcPr/>
          <w:p>
            <w:pPr>
              <w:pStyle w:val="Compact"/>
              <w:jc w:val="center"/>
            </w:pPr>
            <w:r>
              <w:t xml:space="preserve">0.33</w:t>
            </w:r>
          </w:p>
        </w:tc>
      </w:tr>
      <w:tr>
        <w:tc>
          <w:tcPr/>
          <w:p>
            <w:pPr>
              <w:pStyle w:val="Compact"/>
              <w:jc w:val="left"/>
            </w:pPr>
            <w:r>
              <w:t xml:space="preserve">1975–1998</w:t>
            </w:r>
          </w:p>
        </w:tc>
        <w:tc>
          <w:tcPr/>
          <w:p>
            <w:pPr>
              <w:pStyle w:val="Compact"/>
              <w:jc w:val="center"/>
            </w:pPr>
            <w:r>
              <w:t xml:space="preserve">11.00</w:t>
            </w:r>
          </w:p>
        </w:tc>
        <w:tc>
          <w:tcPr/>
          <w:p>
            <w:pPr>
              <w:pStyle w:val="Compact"/>
              <w:jc w:val="center"/>
            </w:pPr>
            <w:r>
              <w:t xml:space="preserve">14.40</w:t>
            </w:r>
          </w:p>
        </w:tc>
        <w:tc>
          <w:tcPr/>
          <w:p>
            <w:pPr>
              <w:pStyle w:val="Compact"/>
              <w:jc w:val="center"/>
            </w:pPr>
            <w:r>
              <w:t xml:space="preserve">0.76</w:t>
            </w:r>
          </w:p>
        </w:tc>
      </w:tr>
      <w:tr>
        <w:tc>
          <w:tcPr/>
          <w:p>
            <w:pPr>
              <w:pStyle w:val="Compact"/>
              <w:jc w:val="left"/>
            </w:pPr>
            <w:r>
              <w:t xml:space="preserve">1999–2022</w:t>
            </w:r>
          </w:p>
        </w:tc>
        <w:tc>
          <w:tcPr/>
          <w:p>
            <w:pPr>
              <w:pStyle w:val="Compact"/>
              <w:jc w:val="center"/>
            </w:pPr>
            <w:r>
              <w:t xml:space="preserve">7.25</w:t>
            </w:r>
          </w:p>
        </w:tc>
        <w:tc>
          <w:tcPr/>
          <w:p>
            <w:pPr>
              <w:pStyle w:val="Compact"/>
              <w:jc w:val="center"/>
            </w:pPr>
            <w:r>
              <w:t xml:space="preserve">19.43</w:t>
            </w:r>
          </w:p>
        </w:tc>
        <w:tc>
          <w:tcPr/>
          <w:p>
            <w:pPr>
              <w:pStyle w:val="Compact"/>
              <w:jc w:val="center"/>
            </w:pPr>
            <w:r>
              <w:t xml:space="preserve">0.37</w:t>
            </w:r>
          </w:p>
        </w:tc>
      </w:tr>
    </w:tbl>
    <w:p>
      <w:pPr>
        <w:pStyle w:val="BodyText"/>
      </w:pPr>
      <w:r>
        <w:t xml:space="preserve">The Sharpe ratio for the overall 1927–2022 period was 0.42. Sharpe ratios across subperiods vary dramatically, ranging from 0.33 to 0.76. The lesson is that we should be very humble when we use historical data to forecast future performance.</w:t>
      </w:r>
    </w:p>
    <w:bookmarkEnd w:id="101"/>
    <w:bookmarkStart w:id="102" w:name="costs-and-benefits-of-passive-investing"/>
    <w:p>
      <w:pPr>
        <w:pStyle w:val="Heading3"/>
      </w:pPr>
      <w:r>
        <w:t xml:space="preserve">5.6.2 Costs and Benefits of Passive Investing</w:t>
      </w:r>
    </w:p>
    <w:p>
      <w:pPr>
        <w:pStyle w:val="FirstParagraph"/>
      </w:pPr>
      <w:r>
        <w:t xml:space="preserve">The annual expense ratio of an active stock mutual fund averages around 0.8% of invested assets. In contrast, you can invest in a stock market index fund with an expense ratio of 0.05% or even less.</w:t>
      </w:r>
    </w:p>
    <w:p>
      <w:pPr>
        <w:pStyle w:val="BodyText"/>
      </w:pPr>
      <w:r>
        <w:t xml:space="preserve">Because of the power of compounding, an extra 1% of annual costs can have large consequences. With a risk-free rate of 2% and a risk premium of 8%, you might expect your wealth to grow by a multiple of</w:t>
      </w:r>
      <w:r>
        <w:t xml:space="preserve"> </w:t>
      </w:r>
      <m:oMath>
        <m:sSup>
          <m:e>
            <m:r>
              <m:t>1.10</m:t>
            </m:r>
          </m:e>
          <m:sup>
            <m:r>
              <m:t>30</m:t>
            </m:r>
          </m:sup>
        </m:sSup>
        <m:r>
          <m:rPr>
            <m:sty m:val="p"/>
          </m:rPr>
          <m:t>=</m:t>
        </m:r>
        <m:r>
          <m:t>17.45</m:t>
        </m:r>
      </m:oMath>
      <w:r>
        <w:t xml:space="preserve"> </w:t>
      </w:r>
      <w:r>
        <w:t xml:space="preserve">over a 30-year investment horizon. If fees are 1%, your net return is reduced to 9%, and your wealth grows by a multiple of only</w:t>
      </w:r>
      <w:r>
        <w:t xml:space="preserve"> </w:t>
      </w:r>
      <m:oMath>
        <m:sSup>
          <m:e>
            <m:r>
              <m:t>1.09</m:t>
            </m:r>
          </m:e>
          <m:sup>
            <m:r>
              <m:t>30</m:t>
            </m:r>
          </m:sup>
        </m:sSup>
        <m:r>
          <m:rPr>
            <m:sty m:val="p"/>
          </m:rPr>
          <m:t>=</m:t>
        </m:r>
        <m:r>
          <m:t>13.26</m:t>
        </m:r>
      </m:oMath>
      <w:r>
        <w:t xml:space="preserve"> </w:t>
      </w:r>
      <w:r>
        <w:t xml:space="preserve">— that seemingly small management fee reduces your final wealth by about one-quarter.</w:t>
      </w:r>
    </w:p>
    <w:p>
      <w:pPr>
        <w:pStyle w:val="BodyText"/>
      </w:pPr>
      <w:r>
        <w:t xml:space="preserve">The CML using the passive market index is not obviously inferior to active strategies.</w:t>
      </w:r>
    </w:p>
    <w:p>
      <w:r>
        <w:pict>
          <v:rect style="width:0;height:1.5pt" o:hralign="center" o:hrstd="t" o:hr="t"/>
        </w:pict>
      </w:r>
    </w:p>
    <w:bookmarkEnd w:id="102"/>
    <w:bookmarkEnd w:id="103"/>
    <w:bookmarkStart w:id="104" w:name="key-terms"/>
    <w:p>
      <w:pPr>
        <w:pStyle w:val="Heading2"/>
      </w:pPr>
      <w:r>
        <w:t xml:space="preserve">Key Terms</w:t>
      </w:r>
    </w:p>
    <w:p>
      <w:pPr>
        <w:pStyle w:val="FirstParagraph"/>
      </w:pPr>
      <w:r>
        <w:rPr>
          <w:b/>
          <w:bCs/>
        </w:rPr>
        <w:t xml:space="preserve">holding-period return (HPR)</w:t>
      </w:r>
      <w:r>
        <w:t xml:space="preserve"> </w:t>
      </w:r>
      <w:r>
        <w:t xml:space="preserve">— Rate of return over a given investment period.</w:t>
      </w:r>
    </w:p>
    <w:p>
      <w:pPr>
        <w:pStyle w:val="BodyText"/>
      </w:pPr>
      <w:r>
        <w:rPr>
          <w:b/>
          <w:bCs/>
        </w:rPr>
        <w:t xml:space="preserve">arithmetic average</w:t>
      </w:r>
      <w:r>
        <w:t xml:space="preserve"> </w:t>
      </w:r>
      <w:r>
        <w:t xml:space="preserve">— The sum of returns in each period divided by the number of periods.</w:t>
      </w:r>
    </w:p>
    <w:p>
      <w:pPr>
        <w:pStyle w:val="BodyText"/>
      </w:pPr>
      <w:r>
        <w:rPr>
          <w:b/>
          <w:bCs/>
        </w:rPr>
        <w:t xml:space="preserve">geometric average</w:t>
      </w:r>
      <w:r>
        <w:t xml:space="preserve"> </w:t>
      </w:r>
      <w:r>
        <w:t xml:space="preserve">— The single per-period return that gives the same cumulative performance as the sequence of actual returns.</w:t>
      </w:r>
    </w:p>
    <w:p>
      <w:pPr>
        <w:pStyle w:val="BodyText"/>
      </w:pPr>
      <w:r>
        <w:rPr>
          <w:b/>
          <w:bCs/>
        </w:rPr>
        <w:t xml:space="preserve">dollar-weighted rate of return</w:t>
      </w:r>
      <w:r>
        <w:t xml:space="preserve"> </w:t>
      </w:r>
      <w:r>
        <w:t xml:space="preserve">— The internal rate of return on an investment.</w:t>
      </w:r>
    </w:p>
    <w:p>
      <w:pPr>
        <w:pStyle w:val="BodyText"/>
      </w:pPr>
      <w:r>
        <w:rPr>
          <w:b/>
          <w:bCs/>
        </w:rPr>
        <w:t xml:space="preserve">nominal interest rate</w:t>
      </w:r>
      <w:r>
        <w:t xml:space="preserve"> </w:t>
      </w:r>
      <w:r>
        <w:t xml:space="preserve">— The interest rate in terms of nominal (not adjusted for purchasing power) dollars.</w:t>
      </w:r>
    </w:p>
    <w:p>
      <w:pPr>
        <w:pStyle w:val="BodyText"/>
      </w:pPr>
      <w:r>
        <w:rPr>
          <w:b/>
          <w:bCs/>
        </w:rPr>
        <w:t xml:space="preserve">real interest rate</w:t>
      </w:r>
      <w:r>
        <w:t xml:space="preserve"> </w:t>
      </w:r>
      <w:r>
        <w:t xml:space="preserve">— The growth rate of purchasing power derived from an investment.</w:t>
      </w:r>
    </w:p>
    <w:p>
      <w:pPr>
        <w:pStyle w:val="BodyText"/>
      </w:pPr>
      <w:r>
        <w:rPr>
          <w:b/>
          <w:bCs/>
        </w:rPr>
        <w:t xml:space="preserve">inflation rate</w:t>
      </w:r>
      <w:r>
        <w:t xml:space="preserve"> </w:t>
      </w:r>
      <w:r>
        <w:t xml:space="preserve">— The rate at which prices are rising, measured as the rate of increase of the CPI.</w:t>
      </w:r>
    </w:p>
    <w:p>
      <w:pPr>
        <w:pStyle w:val="BodyText"/>
      </w:pPr>
      <w:r>
        <w:rPr>
          <w:b/>
          <w:bCs/>
        </w:rPr>
        <w:t xml:space="preserve">scenario analysis</w:t>
      </w:r>
      <w:r>
        <w:t xml:space="preserve"> </w:t>
      </w:r>
      <w:r>
        <w:t xml:space="preserve">— A list of possible economic scenarios, the likelihood of each, and the HPR that will be realized in each case.</w:t>
      </w:r>
    </w:p>
    <w:p>
      <w:pPr>
        <w:pStyle w:val="BodyText"/>
      </w:pPr>
      <w:r>
        <w:rPr>
          <w:b/>
          <w:bCs/>
        </w:rPr>
        <w:t xml:space="preserve">probability distribution</w:t>
      </w:r>
      <w:r>
        <w:t xml:space="preserve"> </w:t>
      </w:r>
      <w:r>
        <w:t xml:space="preserve">— List of possible outcomes with associated probabilities.</w:t>
      </w:r>
    </w:p>
    <w:p>
      <w:pPr>
        <w:pStyle w:val="BodyText"/>
      </w:pPr>
      <w:r>
        <w:rPr>
          <w:b/>
          <w:bCs/>
        </w:rPr>
        <w:t xml:space="preserve">expected return</w:t>
      </w:r>
      <w:r>
        <w:t xml:space="preserve"> </w:t>
      </w:r>
      <w:r>
        <w:t xml:space="preserve">— The mean value of the distribution of HPR.</w:t>
      </w:r>
    </w:p>
    <w:p>
      <w:pPr>
        <w:pStyle w:val="BodyText"/>
      </w:pPr>
      <w:r>
        <w:rPr>
          <w:b/>
          <w:bCs/>
        </w:rPr>
        <w:t xml:space="preserve">variance</w:t>
      </w:r>
      <w:r>
        <w:t xml:space="preserve"> </w:t>
      </w:r>
      <w:r>
        <w:t xml:space="preserve">— The expected value of the squared deviation from the mean.</w:t>
      </w:r>
    </w:p>
    <w:p>
      <w:pPr>
        <w:pStyle w:val="BodyText"/>
      </w:pPr>
      <w:r>
        <w:rPr>
          <w:b/>
          <w:bCs/>
        </w:rPr>
        <w:t xml:space="preserve">standard deviation</w:t>
      </w:r>
      <w:r>
        <w:t xml:space="preserve"> </w:t>
      </w:r>
      <w:r>
        <w:t xml:space="preserve">— The square root of the variance.</w:t>
      </w:r>
    </w:p>
    <w:p>
      <w:pPr>
        <w:pStyle w:val="BodyText"/>
      </w:pPr>
      <w:r>
        <w:rPr>
          <w:b/>
          <w:bCs/>
        </w:rPr>
        <w:t xml:space="preserve">value at risk (VaR)</w:t>
      </w:r>
      <w:r>
        <w:t xml:space="preserve"> </w:t>
      </w:r>
      <w:r>
        <w:t xml:space="preserve">— Measure of downside risk. The worst loss that will be suffered with a given probability, often 1% or 5%.</w:t>
      </w:r>
    </w:p>
    <w:p>
      <w:pPr>
        <w:pStyle w:val="BodyText"/>
      </w:pPr>
      <w:r>
        <w:rPr>
          <w:b/>
          <w:bCs/>
        </w:rPr>
        <w:t xml:space="preserve">kurtosis</w:t>
      </w:r>
      <w:r>
        <w:t xml:space="preserve"> </w:t>
      </w:r>
      <w:r>
        <w:t xml:space="preserve">— Measure of the fatness of the tails of a probability distribution relative to that of a normal distribution. Indicates likelihood of extreme outcomes.</w:t>
      </w:r>
    </w:p>
    <w:p>
      <w:pPr>
        <w:pStyle w:val="BodyText"/>
      </w:pPr>
      <w:r>
        <w:rPr>
          <w:b/>
          <w:bCs/>
        </w:rPr>
        <w:t xml:space="preserve">skew</w:t>
      </w:r>
      <w:r>
        <w:t xml:space="preserve"> </w:t>
      </w:r>
      <w:r>
        <w:t xml:space="preserve">— Measure of the asymmetry of a probability distribution.</w:t>
      </w:r>
    </w:p>
    <w:p>
      <w:pPr>
        <w:pStyle w:val="BodyText"/>
      </w:pPr>
      <w:r>
        <w:rPr>
          <w:b/>
          <w:bCs/>
        </w:rPr>
        <w:t xml:space="preserve">risk-free rate</w:t>
      </w:r>
      <w:r>
        <w:t xml:space="preserve"> </w:t>
      </w:r>
      <w:r>
        <w:t xml:space="preserve">— The rate of return that can be earned with certainty, often measured by the rate on Treasury bills.</w:t>
      </w:r>
    </w:p>
    <w:p>
      <w:pPr>
        <w:pStyle w:val="BodyText"/>
      </w:pPr>
      <w:r>
        <w:rPr>
          <w:b/>
          <w:bCs/>
        </w:rPr>
        <w:t xml:space="preserve">risk premium</w:t>
      </w:r>
      <w:r>
        <w:t xml:space="preserve"> </w:t>
      </w:r>
      <w:r>
        <w:t xml:space="preserve">— An expected return in excess of that on risk-free securities.</w:t>
      </w:r>
    </w:p>
    <w:p>
      <w:pPr>
        <w:pStyle w:val="BodyText"/>
      </w:pPr>
      <w:r>
        <w:rPr>
          <w:b/>
          <w:bCs/>
        </w:rPr>
        <w:t xml:space="preserve">excess return</w:t>
      </w:r>
      <w:r>
        <w:t xml:space="preserve"> </w:t>
      </w:r>
      <w:r>
        <w:t xml:space="preserve">— Rate of return in excess of the risk-free rate.</w:t>
      </w:r>
    </w:p>
    <w:p>
      <w:pPr>
        <w:pStyle w:val="BodyText"/>
      </w:pPr>
      <w:r>
        <w:rPr>
          <w:b/>
          <w:bCs/>
        </w:rPr>
        <w:t xml:space="preserve">risk aversion</w:t>
      </w:r>
      <w:r>
        <w:t xml:space="preserve"> </w:t>
      </w:r>
      <w:r>
        <w:t xml:space="preserve">— Reluctance to accept risk.</w:t>
      </w:r>
    </w:p>
    <w:p>
      <w:pPr>
        <w:pStyle w:val="BodyText"/>
      </w:pPr>
      <w:r>
        <w:rPr>
          <w:b/>
          <w:bCs/>
        </w:rPr>
        <w:t xml:space="preserve">price of risk</w:t>
      </w:r>
      <w:r>
        <w:t xml:space="preserve"> </w:t>
      </w:r>
      <w:r>
        <w:t xml:space="preserve">— The ratio of portfolio risk premium to variance.</w:t>
      </w:r>
    </w:p>
    <w:p>
      <w:pPr>
        <w:pStyle w:val="BodyText"/>
      </w:pPr>
      <w:r>
        <w:rPr>
          <w:b/>
          <w:bCs/>
        </w:rPr>
        <w:t xml:space="preserve">Sharpe ratio</w:t>
      </w:r>
      <w:r>
        <w:t xml:space="preserve"> </w:t>
      </w:r>
      <w:r>
        <w:t xml:space="preserve">— Ratio of portfolio risk premium to standard deviation.</w:t>
      </w:r>
    </w:p>
    <w:p>
      <w:pPr>
        <w:pStyle w:val="BodyText"/>
      </w:pPr>
      <w:r>
        <w:rPr>
          <w:b/>
          <w:bCs/>
        </w:rPr>
        <w:t xml:space="preserve">mean-variance analysis</w:t>
      </w:r>
      <w:r>
        <w:t xml:space="preserve"> </w:t>
      </w:r>
      <w:r>
        <w:t xml:space="preserve">— Evaluating portfolios according to their expected returns and standard deviations (or variances).</w:t>
      </w:r>
    </w:p>
    <w:p>
      <w:pPr>
        <w:pStyle w:val="BodyText"/>
      </w:pPr>
      <w:r>
        <w:rPr>
          <w:b/>
          <w:bCs/>
        </w:rPr>
        <w:t xml:space="preserve">asset allocation</w:t>
      </w:r>
      <w:r>
        <w:t xml:space="preserve"> </w:t>
      </w:r>
      <w:r>
        <w:t xml:space="preserve">— Allocation of an investment portfolio across broad asset classes.</w:t>
      </w:r>
    </w:p>
    <w:p>
      <w:pPr>
        <w:pStyle w:val="BodyText"/>
      </w:pPr>
      <w:r>
        <w:rPr>
          <w:b/>
          <w:bCs/>
        </w:rPr>
        <w:t xml:space="preserve">capital allocation to risky assets</w:t>
      </w:r>
      <w:r>
        <w:t xml:space="preserve"> </w:t>
      </w:r>
      <w:r>
        <w:t xml:space="preserve">— The choice between risky and risk-free assets.</w:t>
      </w:r>
    </w:p>
    <w:p>
      <w:pPr>
        <w:pStyle w:val="BodyText"/>
      </w:pPr>
      <w:r>
        <w:rPr>
          <w:b/>
          <w:bCs/>
        </w:rPr>
        <w:t xml:space="preserve">complete portfolio</w:t>
      </w:r>
      <w:r>
        <w:t xml:space="preserve"> </w:t>
      </w:r>
      <w:r>
        <w:t xml:space="preserve">— The entire portfolio including risky and risk-free assets.</w:t>
      </w:r>
    </w:p>
    <w:p>
      <w:pPr>
        <w:pStyle w:val="BodyText"/>
      </w:pPr>
      <w:r>
        <w:rPr>
          <w:b/>
          <w:bCs/>
        </w:rPr>
        <w:t xml:space="preserve">capital allocation line (CAL)</w:t>
      </w:r>
      <w:r>
        <w:t xml:space="preserve"> </w:t>
      </w:r>
      <w:r>
        <w:t xml:space="preserve">— Plot of risk-return combinations available by varying portfolio allocation between a risk-free asset and a risky portfolio.</w:t>
      </w:r>
    </w:p>
    <w:p>
      <w:pPr>
        <w:pStyle w:val="BodyText"/>
      </w:pPr>
      <w:r>
        <w:rPr>
          <w:b/>
          <w:bCs/>
        </w:rPr>
        <w:t xml:space="preserve">passive strategy</w:t>
      </w:r>
      <w:r>
        <w:t xml:space="preserve"> </w:t>
      </w:r>
      <w:r>
        <w:t xml:space="preserve">— Investment policy that avoids security analysis. Often entails indexing.</w:t>
      </w:r>
    </w:p>
    <w:p>
      <w:pPr>
        <w:pStyle w:val="BodyText"/>
      </w:pPr>
      <w:r>
        <w:rPr>
          <w:b/>
          <w:bCs/>
        </w:rPr>
        <w:t xml:space="preserve">capital market line (CML)</w:t>
      </w:r>
      <w:r>
        <w:t xml:space="preserve"> </w:t>
      </w:r>
      <w:r>
        <w:t xml:space="preserve">— The capital allocation line using the market index portfolio as the risky asset.</w:t>
      </w:r>
    </w:p>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56" Target="media/rId56.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94" Target="media/rId94.png" /><Relationship Type="http://schemas.openxmlformats.org/officeDocument/2006/relationships/image" Id="rId48" Target="media/rId48.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 Risk, Return, and the Historical Record</dc:title>
  <dc:creator>Prof. Barker</dc:creator>
  <cp:keywords/>
  <dcterms:created xsi:type="dcterms:W3CDTF">2026-09-19T20:30:27Z</dcterms:created>
  <dcterms:modified xsi:type="dcterms:W3CDTF">2026-09-19T20:30:27Z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2026-09-19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