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 Financial Goals, Corporate Governance, and the Market for Corporate Control</w:t>
      </w:r>
    </w:p>
    <w:p>
      <w:pPr>
        <w:pStyle w:val="Author"/>
      </w:pPr>
      <w:r>
        <w:t xml:space="preserve">Prof. Barker</w:t>
      </w:r>
    </w:p>
    <w:p>
      <w:pPr>
        <w:pStyle w:val="Date"/>
      </w:pPr>
      <w:r>
        <w:t xml:space="preserve">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and-opening"/>
    <w:p>
      <w:pPr>
        <w:pStyle w:val="Heading2"/>
      </w:pPr>
      <w:r>
        <w:t xml:space="preserve">Introduction and Opening</w:t>
      </w:r>
    </w:p>
    <w:p>
      <w:pPr>
        <w:pStyle w:val="FirstParagraph"/>
      </w:pPr>
      <w:r>
        <w:t xml:space="preserve">“A Corporation then, or a body politic, or body incorporate, is a collection of many individuals united into one body, under a special denomination, having perpetual succession under an artificial form, and vested, by policy of the law, with the capacity of acting, in several respects, as an individual.”</w:t>
      </w:r>
      <w:r>
        <w:br/>
      </w:r>
      <w:r>
        <w:t xml:space="preserve">— Stewart Kyd, A Treatise on the Law of Corporations, 1793</w:t>
      </w:r>
    </w:p>
    <w:p>
      <w:pPr>
        <w:pStyle w:val="BodyText"/>
      </w:pPr>
      <w:r>
        <w:t xml:space="preserve">This is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0.1 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Start w:id="48" w:name="part-1-business-ownership"/>
    <w:p>
      <w:pPr>
        <w:pStyle w:val="Heading2"/>
      </w:pPr>
      <w:r>
        <w:t xml:space="preserve">0.2 Part 1: Business Ownership</w:t>
      </w:r>
    </w:p>
    <w:bookmarkStart w:id="23" w:name="the-foundation-understanding-ownership"/>
    <w:p>
      <w:pPr>
        <w:pStyle w:val="Heading3"/>
      </w:pPr>
      <w:r>
        <w:t xml:space="preserve">0.2.1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End w:id="23"/>
    <w:bookmarkStart w:id="24" w:name="critical-opening-distinction"/>
    <w:p>
      <w:pPr>
        <w:pStyle w:val="Heading3"/>
      </w:pPr>
      <w:r>
        <w:t xml:space="preserve">0.2.2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0.2.3 Types of Ownership Structures</w:t>
      </w:r>
    </w:p>
    <w:p>
      <w:pPr>
        <w:pStyle w:val="FirstParagraph"/>
      </w:pPr>
      <w:r>
        <w:t xml:space="preserve">Let me walk through the major ownership structures globally:</w:t>
      </w:r>
    </w:p>
    <w:bookmarkStart w:id="25" w:name="sole-proprietorship"/>
    <w:p>
      <w:pPr>
        <w:pStyle w:val="Heading4"/>
      </w:pPr>
      <w:r>
        <w:t xml:space="preserve">0.2.3.1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0.2.3.2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0.2.3.3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0.2.3.4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0.2.3.5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0.2.3.6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Start w:id="32" w:name="Xca628c9e28f3303b4aa243e92e9ef06df7869cf"/>
    <w:p>
      <w:pPr>
        <w:pStyle w:val="Heading3"/>
      </w:pPr>
      <w:r>
        <w:t xml:space="preserve">0.2.4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End w:id="32"/>
    <w:bookmarkStart w:id="33" w:name="what-is-an-ipo"/>
    <w:p>
      <w:pPr>
        <w:pStyle w:val="Heading3"/>
      </w:pPr>
      <w:r>
        <w:t xml:space="preserve">0.2.5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0.2.6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0.2.7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Start w:id="36" w:name="the-corporation-a-legal-person"/>
    <w:p>
      <w:pPr>
        <w:pStyle w:val="Heading3"/>
      </w:pPr>
      <w:r>
        <w:t xml:space="preserve">0.2.8 The Corporation: A Legal Person</w:t>
      </w:r>
    </w:p>
    <w:p>
      <w:pPr>
        <w:pStyle w:val="FirstParagraph"/>
      </w:pPr>
      <w:r>
        <w:t xml:space="preserve">Let me spend a moment on the corporation as a legal construct, because this is fundamental to everything that follows.</w:t>
      </w:r>
    </w:p>
    <w:bookmarkEnd w:id="36"/>
    <w:bookmarkStart w:id="37" w:name="what-is-a-corporation"/>
    <w:p>
      <w:pPr>
        <w:pStyle w:val="Heading3"/>
      </w:pPr>
      <w:r>
        <w:t xml:space="preserve">0.2.9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0.2.10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0.2.11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Start w:id="40" w:name="separation-of-ownership-and-management"/>
    <w:p>
      <w:pPr>
        <w:pStyle w:val="Heading3"/>
      </w:pPr>
      <w:r>
        <w:t xml:space="preserve">0.2.12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End w:id="40"/>
    <w:bookmarkStart w:id="41" w:name="the-traditional-model-owner-operator"/>
    <w:p>
      <w:pPr>
        <w:pStyle w:val="Heading3"/>
      </w:pPr>
      <w:r>
        <w:t xml:space="preserve">0.2.13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0.2.14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0.2.15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0.2.16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0.2.17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0.2.18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0.2.19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Start w:id="104" w:name="part-2-the-corporate-objective"/>
    <w:p>
      <w:pPr>
        <w:pStyle w:val="Heading2"/>
      </w:pPr>
      <w:r>
        <w:t xml:space="preserve">0.3 Part 2: The Corporate Objective</w:t>
      </w:r>
    </w:p>
    <w:bookmarkStart w:id="49" w:name="the-central-question"/>
    <w:p>
      <w:pPr>
        <w:pStyle w:val="Heading3"/>
      </w:pPr>
      <w:r>
        <w:t xml:space="preserve">0.3.1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End w:id="49"/>
    <w:bookmarkStart w:id="50" w:name="two-competing-models"/>
    <w:p>
      <w:pPr>
        <w:pStyle w:val="Heading3"/>
      </w:pPr>
      <w:r>
        <w:t xml:space="preserve">0.3.2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Start w:id="51" w:name="shareholder-capitalism-swm-model"/>
    <w:p>
      <w:pPr>
        <w:pStyle w:val="Heading3"/>
      </w:pPr>
      <w:r>
        <w:t xml:space="preserve">0.3.3 Shareholder Capitalism (SWM Model)</w:t>
      </w:r>
    </w:p>
    <w:bookmarkEnd w:id="51"/>
    <w:bookmarkStart w:id="52" w:name="the-philosophy"/>
    <w:p>
      <w:pPr>
        <w:pStyle w:val="Heading3"/>
      </w:pPr>
      <w:r>
        <w:t xml:space="preserve">0.3.4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0.3.5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0.3.6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0.3.7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0.3.7.1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0.3.7.2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0.3.7.3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0.3.8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0.3.9 Criticisms and Pitfalls of SWM</w:t>
      </w:r>
    </w:p>
    <w:p>
      <w:pPr>
        <w:pStyle w:val="FirstParagraph"/>
      </w:pPr>
      <w:r>
        <w:t xml:space="preserve">The model has several potential problems:</w:t>
      </w:r>
    </w:p>
    <w:bookmarkStart w:id="60" w:name="short-termism-impatient-capitalism"/>
    <w:p>
      <w:pPr>
        <w:pStyle w:val="Heading4"/>
      </w:pPr>
      <w:r>
        <w:t xml:space="preserve">0.3.9.1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0.3.9.2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0.3.9.3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0.3.9.4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0.3.10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Start w:id="66" w:name="stakeholder-capitalism-scm-model"/>
    <w:p>
      <w:pPr>
        <w:pStyle w:val="Heading3"/>
      </w:pPr>
      <w:r>
        <w:t xml:space="preserve">0.3.11 Stakeholder Capitalism (SCM Model)</w:t>
      </w:r>
    </w:p>
    <w:p>
      <w:pPr>
        <w:pStyle w:val="FirstParagraph"/>
      </w:pPr>
      <w:r>
        <w:t xml:space="preserve">Now let’s turn to the alternative model that dominates much of the world outside the Anglo-American sphere.</w:t>
      </w:r>
    </w:p>
    <w:bookmarkEnd w:id="66"/>
    <w:bookmarkStart w:id="67" w:name="the-philosophy-1"/>
    <w:p>
      <w:pPr>
        <w:pStyle w:val="Heading3"/>
      </w:pPr>
      <w:r>
        <w:t xml:space="preserve">0.3.12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0.3.13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0.3.14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0.3.15 Key Characteristics of SCM</w:t>
      </w:r>
    </w:p>
    <w:bookmarkStart w:id="70" w:name="market-efficiency-is-not-assumed"/>
    <w:p>
      <w:pPr>
        <w:pStyle w:val="Heading4"/>
      </w:pPr>
      <w:r>
        <w:t xml:space="preserve">0.3.15.1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0.3.15.2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0.3.15.3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0.3.16 Governance Mechanisms Under SCM</w:t>
      </w:r>
    </w:p>
    <w:p>
      <w:pPr>
        <w:pStyle w:val="FirstParagraph"/>
      </w:pPr>
      <w:r>
        <w:t xml:space="preserve">How is management disciplined under SCM?</w:t>
      </w:r>
    </w:p>
    <w:bookmarkStart w:id="74" w:name="bank-relationships-germany-japan"/>
    <w:p>
      <w:pPr>
        <w:pStyle w:val="Heading4"/>
      </w:pPr>
      <w:r>
        <w:t xml:space="preserve">0.3.16.1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0.3.16.2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0.3.16.3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0.3.16.4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0.3.16.5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0.3.17 Criticisms of SCM</w:t>
      </w:r>
    </w:p>
    <w:p>
      <w:pPr>
        <w:pStyle w:val="FirstParagraph"/>
      </w:pPr>
      <w:r>
        <w:t xml:space="preserve">The SCM model also has problems:</w:t>
      </w:r>
    </w:p>
    <w:bookmarkStart w:id="80" w:name="lack-of-accountability"/>
    <w:p>
      <w:pPr>
        <w:pStyle w:val="Heading4"/>
      </w:pPr>
      <w:r>
        <w:t xml:space="preserve">0.3.17.1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0.3.17.2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0.3.17.3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0.3.17.4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Start w:id="85" w:name="esg-and-the-current-debate"/>
    <w:p>
      <w:pPr>
        <w:pStyle w:val="Heading3"/>
      </w:pPr>
      <w:r>
        <w:t xml:space="preserve">0.3.18 ESG and the Current Debate</w:t>
      </w:r>
    </w:p>
    <w:bookmarkEnd w:id="85"/>
    <w:bookmarkStart w:id="86" w:name="environmental-social-and-governance-esg"/>
    <w:p>
      <w:pPr>
        <w:pStyle w:val="Heading3"/>
      </w:pPr>
      <w:r>
        <w:t xml:space="preserve">0.3.19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0.3.20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0.3.21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Start w:id="89" w:name="operational-goals-for-mnes"/>
    <w:p>
      <w:pPr>
        <w:pStyle w:val="Heading3"/>
      </w:pPr>
      <w:r>
        <w:t xml:space="preserve">0.3.22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End w:id="89"/>
    <w:bookmarkStart w:id="90" w:name="maximize-consolidated-after-tax-income"/>
    <w:p>
      <w:pPr>
        <w:pStyle w:val="Heading3"/>
      </w:pPr>
      <w:r>
        <w:t xml:space="preserve">0.3.23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0.3.24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0.3.25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0.3.26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Start w:id="94" w:name="activist-investors"/>
    <w:p>
      <w:pPr>
        <w:pStyle w:val="Heading3"/>
      </w:pPr>
      <w:r>
        <w:t xml:space="preserve">0.3.27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End w:id="94"/>
    <w:bookmarkStart w:id="95" w:name="what-are-activist-investors"/>
    <w:p>
      <w:pPr>
        <w:pStyle w:val="Heading3"/>
      </w:pPr>
      <w:r>
        <w:t xml:space="preserve">0.3.28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0.3.29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0.3.30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0.3.30.1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0.3.30.2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0.3.30.3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0.3.31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0.3.32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0.3.33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Start w:id="144" w:name="part-3-corporate-governance"/>
    <w:p>
      <w:pPr>
        <w:pStyle w:val="Heading2"/>
      </w:pPr>
      <w:r>
        <w:t xml:space="preserve">0.4 Part 3: Corporate Governance</w:t>
      </w:r>
    </w:p>
    <w:bookmarkStart w:id="105" w:name="what-is-corporate-governance"/>
    <w:p>
      <w:pPr>
        <w:pStyle w:val="Heading3"/>
      </w:pPr>
      <w:r>
        <w:t xml:space="preserve">0.4.1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End w:id="105"/>
    <w:bookmarkStart w:id="106" w:name="why-corporate-governance-matters"/>
    <w:p>
      <w:pPr>
        <w:pStyle w:val="Heading3"/>
      </w:pPr>
      <w:r>
        <w:t xml:space="preserve">0.4.2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Start w:id="107" w:name="the-structure-of-corporate-governance"/>
    <w:p>
      <w:pPr>
        <w:pStyle w:val="Heading3"/>
      </w:pPr>
      <w:r>
        <w:t xml:space="preserve">0.4.3 The Structure of Corporate Governance</w:t>
      </w:r>
    </w:p>
    <w:p>
      <w:pPr>
        <w:pStyle w:val="FirstParagraph"/>
      </w:pPr>
      <w:r>
        <w:t xml:space="preserve">The textbook provides an excellent diagram (Exhibit 4.5) showing the governance ecosystem for a US corporation. Let me walk through this:</w:t>
      </w:r>
    </w:p>
    <w:bookmarkEnd w:id="107"/>
    <w:bookmarkStart w:id="110" w:name="internal-forces-the-corporation-itself"/>
    <w:p>
      <w:pPr>
        <w:pStyle w:val="Heading3"/>
      </w:pPr>
      <w:r>
        <w:t xml:space="preserve">0.4.4 Internal Forces (The Corporation Itself)</w:t>
      </w:r>
    </w:p>
    <w:bookmarkStart w:id="108" w:name="board-of-directors"/>
    <w:p>
      <w:pPr>
        <w:pStyle w:val="Heading4"/>
      </w:pPr>
      <w:r>
        <w:t xml:space="preserve">0.4.4.1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0.4.4.2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0.4.5 External Forces (The Business Marketplace)</w:t>
      </w:r>
    </w:p>
    <w:bookmarkStart w:id="111" w:name="equity-markets"/>
    <w:p>
      <w:pPr>
        <w:pStyle w:val="Heading4"/>
      </w:pPr>
      <w:r>
        <w:t xml:space="preserve">0.4.5.1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0.4.5.2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0.4.5.3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0.4.5.4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0.4.6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Start w:id="117" w:name="comparative-corporate-governance"/>
    <w:p>
      <w:pPr>
        <w:pStyle w:val="Heading3"/>
      </w:pPr>
      <w:r>
        <w:t xml:space="preserve">0.4.7 Comparative Corporate Governance</w:t>
      </w:r>
    </w:p>
    <w:p>
      <w:pPr>
        <w:pStyle w:val="FirstParagraph"/>
      </w:pPr>
      <w:r>
        <w:t xml:space="preserve">Corporate governance varies dramatically across countries. Let me give you a framework for understanding these differences.</w:t>
      </w:r>
    </w:p>
    <w:bookmarkEnd w:id="117"/>
    <w:bookmarkStart w:id="122" w:name="four-drivers-of-governance-differences"/>
    <w:p>
      <w:pPr>
        <w:pStyle w:val="Heading3"/>
      </w:pPr>
      <w:r>
        <w:t xml:space="preserve">0.4.8 Four Drivers of Governance Differences</w:t>
      </w:r>
    </w:p>
    <w:p>
      <w:pPr>
        <w:pStyle w:val="FirstParagraph"/>
      </w:pPr>
      <w:r>
        <w:t xml:space="preserve">The textbook identifies four main factors:</w:t>
      </w:r>
    </w:p>
    <w:bookmarkStart w:id="118" w:name="financial-market-development"/>
    <w:p>
      <w:pPr>
        <w:pStyle w:val="Heading4"/>
      </w:pPr>
      <w:r>
        <w:t xml:space="preserve">0.4.8.1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0.4.8.2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0.4.8.3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0.4.8.4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0.4.9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0.4.9.1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0.4.9.2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0.4.10 Specific Country Examples</w:t>
      </w:r>
    </w:p>
    <w:bookmarkStart w:id="126" w:name="germany"/>
    <w:p>
      <w:pPr>
        <w:pStyle w:val="Heading4"/>
      </w:pPr>
      <w:r>
        <w:t xml:space="preserve">0.4.10.1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0.4.10.2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0.4.10.3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0.4.10.4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0.4.11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Start w:id="132" w:name="good-governance-and-corporate-reputation"/>
    <w:p>
      <w:pPr>
        <w:pStyle w:val="Heading3"/>
      </w:pPr>
      <w:r>
        <w:t xml:space="preserve">0.4.12 Good Governance and Corporate Reputation</w:t>
      </w:r>
    </w:p>
    <w:bookmarkEnd w:id="132"/>
    <w:bookmarkStart w:id="133" w:name="does-good-governance-have-value"/>
    <w:p>
      <w:pPr>
        <w:pStyle w:val="Heading3"/>
      </w:pPr>
      <w:r>
        <w:t xml:space="preserve">0.4.13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0.4.14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0.4.14.1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0.4.14.2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0.4.14.3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0.4.14.4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0.4.14.5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0.4.15 Governance Failures</w:t>
      </w:r>
    </w:p>
    <w:p>
      <w:pPr>
        <w:pStyle w:val="FirstParagraph"/>
      </w:pPr>
      <w:r>
        <w:t xml:space="preserve">Let me give you some examples of governance failures to illustrate what can go wrong:</w:t>
      </w:r>
    </w:p>
    <w:bookmarkStart w:id="140" w:name="enron-2001"/>
    <w:p>
      <w:pPr>
        <w:pStyle w:val="Heading4"/>
      </w:pPr>
      <w:r>
        <w:t xml:space="preserve">0.4.15.1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0.4.15.2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0.4.15.3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Start w:id="186" w:name="part-4-the-market-for-corporate-control"/>
    <w:p>
      <w:pPr>
        <w:pStyle w:val="Heading2"/>
      </w:pPr>
      <w:r>
        <w:t xml:space="preserve">0.5 Part 4: The Market for Corporate Control</w:t>
      </w:r>
    </w:p>
    <w:bookmarkStart w:id="145" w:name="what-is-the-market-for-corporate-control"/>
    <w:p>
      <w:pPr>
        <w:pStyle w:val="Heading3"/>
      </w:pPr>
      <w:r>
        <w:t xml:space="preserve">0.5.1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End w:id="145"/>
    <w:bookmarkStart w:id="146" w:name="X62a6cb98f0e232df0c8e0cd2f290cd00a31f68c"/>
    <w:p>
      <w:pPr>
        <w:pStyle w:val="Heading3"/>
      </w:pPr>
      <w:r>
        <w:t xml:space="preserve">0.5.2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Start w:id="147" w:name="takeovers-friendly-vs.-hostile"/>
    <w:p>
      <w:pPr>
        <w:pStyle w:val="Heading3"/>
      </w:pPr>
      <w:r>
        <w:t xml:space="preserve">0.5.3 Takeovers: Friendly vs. Hostile</w:t>
      </w:r>
    </w:p>
    <w:bookmarkEnd w:id="147"/>
    <w:bookmarkStart w:id="148" w:name="Xc6f004de5c8e70ab08e9e3af48257e6d1c1c97e"/>
    <w:p>
      <w:pPr>
        <w:pStyle w:val="Heading3"/>
      </w:pPr>
      <w:r>
        <w:t xml:space="preserve">0.5.4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0.5.5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Start w:id="150" w:name="regulatory-thresholds-and-requirements"/>
    <w:p>
      <w:pPr>
        <w:pStyle w:val="Heading3"/>
      </w:pPr>
      <w:r>
        <w:t xml:space="preserve">0.5.6 Regulatory Thresholds and Requirements</w:t>
      </w:r>
    </w:p>
    <w:p>
      <w:pPr>
        <w:pStyle w:val="FirstParagraph"/>
      </w:pPr>
      <w:r>
        <w:t xml:space="preserve">The textbook provides excellent overview (Exhibit 4.7) of various thresholds in takeover process. Let me explain these:</w:t>
      </w:r>
    </w:p>
    <w:bookmarkEnd w:id="150"/>
    <w:bookmarkStart w:id="151" w:name="disclosure-threshold"/>
    <w:p>
      <w:pPr>
        <w:pStyle w:val="Heading3"/>
      </w:pPr>
      <w:r>
        <w:t xml:space="preserve">0.5.7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0.5.8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0.5.9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0.5.10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0.5.11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Start w:id="156" w:name="Xeb81d0b66eb1dfc6c700a170c58be77ed3fc94f"/>
    <w:p>
      <w:pPr>
        <w:pStyle w:val="Heading3"/>
      </w:pPr>
      <w:r>
        <w:t xml:space="preserve">0.5.12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End w:id="156"/>
    <w:bookmarkStart w:id="157" w:name="why-defend"/>
    <w:p>
      <w:pPr>
        <w:pStyle w:val="Heading3"/>
      </w:pPr>
      <w:r>
        <w:t xml:space="preserve">0.5.13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0.5.14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0.5.15 Voting Power Defenses</w:t>
      </w:r>
    </w:p>
    <w:bookmarkStart w:id="159" w:name="dual-class-stock"/>
    <w:p>
      <w:pPr>
        <w:pStyle w:val="Heading4"/>
      </w:pPr>
      <w:r>
        <w:t xml:space="preserve">0.5.15.1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0.5.15.2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0.5.16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0.5.17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0.5.18 Firm Value Defenses</w:t>
      </w:r>
    </w:p>
    <w:bookmarkStart w:id="164" w:name="crown-jewel-defense"/>
    <w:p>
      <w:pPr>
        <w:pStyle w:val="Heading4"/>
      </w:pPr>
      <w:r>
        <w:t xml:space="preserve">0.5.18.1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0.5.18.2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0.5.18.3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0.5.18.4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0.5.19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0.5.20 Legal and Regulatory Defenses</w:t>
      </w:r>
    </w:p>
    <w:bookmarkStart w:id="170" w:name="antitrust-review"/>
    <w:p>
      <w:pPr>
        <w:pStyle w:val="Heading4"/>
      </w:pPr>
      <w:r>
        <w:t xml:space="preserve">0.5.20.1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0.5.20.2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Start w:id="173" w:name="cross-border-takeovers"/>
    <w:p>
      <w:pPr>
        <w:pStyle w:val="Heading3"/>
      </w:pPr>
      <w:r>
        <w:t xml:space="preserve">0.5.21 Cross-Border Takeovers</w:t>
      </w:r>
    </w:p>
    <w:p>
      <w:pPr>
        <w:pStyle w:val="FirstParagraph"/>
      </w:pPr>
      <w:r>
        <w:t xml:space="preserve">When takeovers cross borders, additional complexities arise:</w:t>
      </w:r>
    </w:p>
    <w:bookmarkEnd w:id="173"/>
    <w:bookmarkStart w:id="174" w:name="additional-challenges"/>
    <w:p>
      <w:pPr>
        <w:pStyle w:val="Heading3"/>
      </w:pPr>
      <w:r>
        <w:t xml:space="preserve">0.5.22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0.5.23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0.5.24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Start w:id="177" w:name="Xa41bf0798ed8ddcd67c99f4b0e15e40f751d108"/>
    <w:p>
      <w:pPr>
        <w:pStyle w:val="Heading3"/>
      </w:pPr>
      <w:r>
        <w:t xml:space="preserve">0.5.25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End w:id="177"/>
    <w:bookmarkStart w:id="178" w:name="the-traditional-debate"/>
    <w:p>
      <w:pPr>
        <w:pStyle w:val="Heading3"/>
      </w:pPr>
      <w:r>
        <w:t xml:space="preserve">0.5.26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0.5.27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0.5.28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0.5.29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0.5.30 Two Channels of Argument</w:t>
      </w:r>
    </w:p>
    <w:bookmarkStart w:id="182" w:name="Xbcb162488f06616fe20db89fdab005e78163a0b"/>
    <w:p>
      <w:pPr>
        <w:pStyle w:val="Heading4"/>
      </w:pPr>
      <w:r>
        <w:t xml:space="preserve">0.5.30.1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0.5.30.2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0.5.31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Start w:id="203" w:name="conclusion-and-synthesis"/>
    <w:p>
      <w:pPr>
        <w:pStyle w:val="Heading2"/>
      </w:pPr>
      <w:r>
        <w:t xml:space="preserve">Conclusion and Synthesis</w:t>
      </w:r>
    </w:p>
    <w:bookmarkStart w:id="187" w:name="bringing-it-all-together"/>
    <w:p>
      <w:pPr>
        <w:pStyle w:val="Heading3"/>
      </w:pPr>
      <w:r>
        <w:t xml:space="preserve">Bringing It All Together</w:t>
      </w:r>
    </w:p>
    <w:p>
      <w:pPr>
        <w:pStyle w:val="FirstParagraph"/>
      </w:pPr>
      <w:r>
        <w:t xml:space="preserve">Let me connect the major themes from today’s lecture:</w:t>
      </w:r>
    </w:p>
    <w:bookmarkEnd w:id="187"/>
    <w:bookmarkStart w:id="188" w:name="business-ownership"/>
    <w:p>
      <w:pPr>
        <w:pStyle w:val="Heading3"/>
      </w:pPr>
      <w:r>
        <w:t xml:space="preserve">0.5.32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0.5.33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0.5.34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0.5.35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0.5.36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Start w:id="193" w:name="the-toshiba-case-synthesis"/>
    <w:p>
      <w:pPr>
        <w:pStyle w:val="Heading3"/>
      </w:pPr>
      <w:r>
        <w:t xml:space="preserve">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3"/>
    <w:bookmarkStart w:id="194" w:name="looking-ahead"/>
    <w:p>
      <w:pPr>
        <w:pStyle w:val="Heading3"/>
      </w:pPr>
      <w:r>
        <w:t xml:space="preserve">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4"/>
    <w:bookmarkStart w:id="195" w:name="why-this-matters-to-you"/>
    <w:p>
      <w:pPr>
        <w:pStyle w:val="Heading3"/>
      </w:pPr>
      <w:r>
        <w:t xml:space="preserve">Why This Matters to You</w:t>
      </w:r>
    </w:p>
    <w:bookmarkEnd w:id="195"/>
    <w:bookmarkStart w:id="196" w:name="career-preparation"/>
    <w:p>
      <w:pPr>
        <w:pStyle w:val="Heading3"/>
      </w:pPr>
      <w:r>
        <w:t xml:space="preserve">0.5.37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0.5.38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0.5.39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Start w:id="199" w:name="practical-advice"/>
    <w:p>
      <w:pPr>
        <w:pStyle w:val="Heading3"/>
      </w:pPr>
      <w:r>
        <w:t xml:space="preserve">Practical Advice</w:t>
      </w:r>
    </w:p>
    <w:bookmarkEnd w:id="199"/>
    <w:bookmarkStart w:id="200" w:name="for-understanding-this-material"/>
    <w:p>
      <w:pPr>
        <w:pStyle w:val="Heading3"/>
      </w:pPr>
      <w:r>
        <w:t xml:space="preserve">0.5.40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0.5.41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Start w:id="202" w:name="discussion-questions-to-consider"/>
    <w:p>
      <w:pPr>
        <w:pStyle w:val="Heading3"/>
      </w:pPr>
      <w:r>
        <w:t xml:space="preserve">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2"/>
    <w:bookmarkEnd w:id="203"/>
    <w:bookmarkStart w:id="210" w:name="questions-and-class-discussion"/>
    <w:p>
      <w:pPr>
        <w:pStyle w:val="Heading2"/>
      </w:pPr>
      <w:r>
        <w:t xml:space="preserve">Questions and Class Discussion</w:t>
      </w:r>
    </w:p>
    <w:bookmarkStart w:id="204" w:name="check-for-understanding"/>
    <w:p>
      <w:pPr>
        <w:pStyle w:val="Heading3"/>
      </w:pPr>
      <w:r>
        <w:t xml:space="preserve">Check for Understanding</w:t>
      </w:r>
    </w:p>
    <w:p>
      <w:pPr>
        <w:pStyle w:val="FirstParagraph"/>
      </w:pPr>
      <w:r>
        <w:t xml:space="preserve">Before we conclude, let me pose a few questions to gauge comprehension:</w:t>
      </w:r>
    </w:p>
    <w:bookmarkEnd w:id="204"/>
    <w:bookmarkStart w:id="205" w:name="question-1"/>
    <w:p>
      <w:pPr>
        <w:pStyle w:val="Heading3"/>
      </w:pPr>
      <w:r>
        <w:t xml:space="preserve">0.5.42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0.5.43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0.5.44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0.5.45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Start w:id="209" w:name="application-exercise"/>
    <w:p>
      <w:pPr>
        <w:pStyle w:val="Heading3"/>
      </w:pPr>
      <w:r>
        <w:t xml:space="preserve">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09"/>
    <w:bookmarkEnd w:id="210"/>
    <w:bookmarkStart w:id="214" w:name="preview-of-next-class-and-assignments"/>
    <w:p>
      <w:pPr>
        <w:pStyle w:val="Heading2"/>
      </w:pPr>
      <w:r>
        <w:t xml:space="preserve">Preview of Next Class and Assignments</w:t>
      </w:r>
    </w:p>
    <w:bookmarkStart w:id="211" w:name="next-session"/>
    <w:p>
      <w:pPr>
        <w:pStyle w:val="Heading3"/>
      </w:pPr>
      <w:r>
        <w:t xml:space="preserve">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1"/>
    <w:bookmarkStart w:id="212" w:name="assignments"/>
    <w:p>
      <w:pPr>
        <w:pStyle w:val="Heading3"/>
      </w:pPr>
      <w:r>
        <w:t xml:space="preserve">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2"/>
    <w:bookmarkStart w:id="213" w:name="office-hours"/>
    <w:p>
      <w:pPr>
        <w:pStyle w:val="Heading3"/>
      </w:pPr>
      <w:r>
        <w:t xml:space="preserve">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3"/>
    <w:bookmarkEnd w:id="214"/>
    <w:bookmarkStart w:id="216"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5" w:name="additional-resources-optional"/>
    <w:p>
      <w:pPr>
        <w:pStyle w:val="Heading3"/>
      </w:pPr>
      <w:r>
        <w:t xml:space="preserve">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5"/>
    <w:bookmarkEnd w:id="2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Financial Goals, Corporate Governance, and the Market for Corporate Control</dc:title>
  <dc:creator>Prof. Barker</dc:creator>
  <cp:keywords/>
  <dcterms:created xsi:type="dcterms:W3CDTF">2026-01-11T21:46:57Z</dcterms:created>
  <dcterms:modified xsi:type="dcterms:W3CDTF">2026-01-11T21:46:57Z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2026-01-11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