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2"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7"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w:r>
        <w:t xml:space="preserve">= expected inflation.</w:t>
      </w:r>
    </w:p>
    <w:p>
      <w:pPr>
        <w:pStyle w:val="FirstParagraph"/>
      </w:pPr>
      <w:r>
        <w:t xml:space="preserve">The cross-product term r</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p>
      <w:pPr>
        <w:pStyle w:val="BodyText"/>
      </w:pPr>
      <w:r>
        <w:t xml:space="preserve">This helps distinguish between:</w:t>
      </w:r>
    </w:p>
    <w:p>
      <w:pPr>
        <w:pStyle w:val="Compact"/>
        <w:numPr>
          <w:ilvl w:val="0"/>
          <w:numId w:val="1015"/>
        </w:numPr>
      </w:pPr>
      <w:r>
        <w:t xml:space="preserve">a high nominal rate caused by inflation, and</w:t>
      </w:r>
    </w:p>
    <w:p>
      <w:pPr>
        <w:pStyle w:val="Compact"/>
        <w:numPr>
          <w:ilvl w:val="0"/>
          <w:numId w:val="1015"/>
        </w:numPr>
      </w:pPr>
      <w:r>
        <w:t xml:space="preserve">a high nominal rate caused by high real return.</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9"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quoted today for settlement on a future date. It is not today’s spot rate; it is the contractual rate at which a currency can be bought or sold forward.</w:t>
      </w:r>
    </w:p>
    <w:p>
      <w:pPr>
        <w:pStyle w:val="BodyText"/>
      </w:pPr>
      <w:r>
        <w:rPr>
          <w:b/>
          <w:bCs/>
        </w:rPr>
        <w:t xml:space="preserve">Important point:</w:t>
      </w:r>
      <w:r>
        <w:t xml:space="preserve"> </w:t>
      </w:r>
      <w:r>
        <w:t xml:space="preserve">the forward rate is first a market price for future delivery, not automatically a prediction.</w:t>
      </w:r>
    </w:p>
    <w:p>
      <w:pPr>
        <w:pStyle w:val="BodyText"/>
      </w:pPr>
      <w:r>
        <w:t xml:space="preserve">Forward rates are central to multinational finance because they allow firms and investors to lock in future exchange rates.</w:t>
      </w:r>
    </w:p>
    <w:bookmarkStart w:id="47" w:name="forward-rate-calculation"/>
    <w:p>
      <w:pPr>
        <w:pStyle w:val="Heading4"/>
      </w:pPr>
      <w:r>
        <w:t xml:space="preserve">6.2.3.1 Forward Rate Calculation</w:t>
      </w:r>
    </w:p>
    <w:p>
      <w:pPr>
        <w:pStyle w:val="FirstParagraph"/>
      </w:pPr>
      <w:r>
        <w:t xml:space="preserve">The forward rate for a given maturity is determined by the current spot rate and the two relevant money-market interest rates for that maturity.</w:t>
      </w:r>
    </w:p>
    <w:p>
      <w:pPr>
        <w:pStyle w:val="BodyText"/>
      </w:pPr>
      <w:r>
        <w:t xml:space="preserve">For the chapter’s Swiss franc example:</w:t>
      </w:r>
    </w:p>
    <w:p>
      <w:pPr>
        <w:pStyle w:val="Compact"/>
        <w:numPr>
          <w:ilvl w:val="0"/>
          <w:numId w:val="1016"/>
        </w:numPr>
      </w:pPr>
      <w:r>
        <w:t xml:space="preserve">spot rate = SF 1.4800 per USD 1.00,</w:t>
      </w:r>
    </w:p>
    <w:p>
      <w:pPr>
        <w:pStyle w:val="Compact"/>
        <w:numPr>
          <w:ilvl w:val="0"/>
          <w:numId w:val="1016"/>
        </w:numPr>
      </w:pPr>
      <w:r>
        <w:t xml:space="preserve">90-day Swiss franc rate = 4.00% per annum,</w:t>
      </w:r>
    </w:p>
    <w:p>
      <w:pPr>
        <w:pStyle w:val="Compact"/>
        <w:numPr>
          <w:ilvl w:val="0"/>
          <w:numId w:val="1016"/>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bookmarkEnd w:id="47"/>
    <w:bookmarkStart w:id="48" w:name="interpretation"/>
    <w:p>
      <w:pPr>
        <w:pStyle w:val="Heading4"/>
      </w:pPr>
      <w:r>
        <w:t xml:space="preserve">6.2.3.2 Interpretation</w:t>
      </w:r>
    </w:p>
    <w:p>
      <w:pPr>
        <w:pStyle w:val="FirstParagraph"/>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8"/>
    <w:bookmarkEnd w:id="49"/>
    <w:bookmarkStart w:id="52"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bookmarkStart w:id="50" w:name="why-the-premium-exists"/>
    <w:p>
      <w:pPr>
        <w:pStyle w:val="Heading4"/>
      </w:pPr>
      <w:r>
        <w:t xml:space="preserve">6.2.4.1 Why the Premium Exists</w:t>
      </w:r>
    </w:p>
    <w:p>
      <w:pPr>
        <w:pStyle w:val="FirstParagraph"/>
      </w:pPr>
      <w:r>
        <w:t xml:space="preserve">The forward premium arises because the Swiss franc interest rate is below the dollar interest rate. A lower-yield currency tends to sell forward at a premium; a higher-yield currency tends to sell forward at a discount.</w:t>
      </w:r>
    </w:p>
    <w:bookmarkEnd w:id="50"/>
    <w:bookmarkStart w:id="51" w:name="foreign-currency-terms"/>
    <w:p>
      <w:pPr>
        <w:pStyle w:val="Heading4"/>
      </w:pPr>
      <w:r>
        <w:t xml:space="preserve">6.2.4.2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51"/>
    <w:bookmarkEnd w:id="52"/>
    <w:bookmarkStart w:id="54"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7"/>
        </w:numPr>
      </w:pPr>
      <w:r>
        <w:t xml:space="preserve">the return on a domestic money market investment, and</w:t>
      </w:r>
    </w:p>
    <w:p>
      <w:pPr>
        <w:pStyle w:val="Compact"/>
        <w:numPr>
          <w:ilvl w:val="0"/>
          <w:numId w:val="1017"/>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3"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3"/>
    <w:bookmarkEnd w:id="54"/>
    <w:bookmarkStart w:id="61"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8"/>
        </w:numPr>
      </w:pPr>
      <w:r>
        <w:t xml:space="preserve">convert into another currency at the spot rate,</w:t>
      </w:r>
    </w:p>
    <w:p>
      <w:pPr>
        <w:pStyle w:val="Compact"/>
        <w:numPr>
          <w:ilvl w:val="0"/>
          <w:numId w:val="1018"/>
        </w:numPr>
      </w:pPr>
      <w:r>
        <w:t xml:space="preserve">invest in that currency,</w:t>
      </w:r>
    </w:p>
    <w:p>
      <w:pPr>
        <w:pStyle w:val="Compact"/>
        <w:numPr>
          <w:ilvl w:val="0"/>
          <w:numId w:val="1018"/>
        </w:numPr>
      </w:pPr>
      <w:r>
        <w:t xml:space="preserve">simultaneously sell the future proceeds forward,</w:t>
      </w:r>
    </w:p>
    <w:p>
      <w:pPr>
        <w:pStyle w:val="Compact"/>
        <w:numPr>
          <w:ilvl w:val="0"/>
          <w:numId w:val="1018"/>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7"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9"/>
        </w:numPr>
      </w:pPr>
      <w:r>
        <w:t xml:space="preserve">spot rate = 106 yen per dollar,</w:t>
      </w:r>
    </w:p>
    <w:p>
      <w:pPr>
        <w:pStyle w:val="Compact"/>
        <w:numPr>
          <w:ilvl w:val="0"/>
          <w:numId w:val="1019"/>
        </w:numPr>
      </w:pPr>
      <w:r>
        <w:t xml:space="preserve">180-day forward rate = 103.50 yen per dollar,</w:t>
      </w:r>
    </w:p>
    <w:p>
      <w:pPr>
        <w:pStyle w:val="Compact"/>
        <w:numPr>
          <w:ilvl w:val="0"/>
          <w:numId w:val="1019"/>
        </w:numPr>
      </w:pPr>
      <w:r>
        <w:t xml:space="preserve">eurodollar rate = 8.00% per annum, or 4.00% for 180 days,</w:t>
      </w:r>
    </w:p>
    <w:p>
      <w:pPr>
        <w:pStyle w:val="Compact"/>
        <w:numPr>
          <w:ilvl w:val="0"/>
          <w:numId w:val="1019"/>
        </w:numPr>
      </w:pPr>
      <w:r>
        <w:t xml:space="preserve">euroyen rate = 4.00% per annum, or 2.00% for 180 days.</w:t>
      </w:r>
    </w:p>
    <w:p>
      <w:pPr>
        <w:pStyle w:val="FirstParagraph"/>
      </w:pPr>
      <w:r>
        <w:t xml:space="preserve">A trader begins with USD 1,000,000.</w:t>
      </w:r>
    </w:p>
    <w:bookmarkStart w:id="55"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5"/>
    <w:bookmarkStart w:id="56"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bookmarkEnd w:id="56"/>
    <w:bookmarkEnd w:id="57"/>
    <w:bookmarkStart w:id="59" w:name="rule-of-thumb"/>
    <w:p>
      <w:pPr>
        <w:pStyle w:val="Heading4"/>
      </w:pPr>
      <w:r>
        <w:t xml:space="preserve">6.2.6.2 Rule of Thumb</w:t>
      </w:r>
    </w:p>
    <w:p>
      <w:pPr>
        <w:pStyle w:val="FirstParagraph"/>
      </w:pPr>
      <w:r>
        <w:t xml:space="preserve">To decide which direction the arbitrage should go, compare:</w:t>
      </w:r>
    </w:p>
    <w:p>
      <w:pPr>
        <w:pStyle w:val="Compact"/>
        <w:numPr>
          <w:ilvl w:val="0"/>
          <w:numId w:val="1020"/>
        </w:numPr>
      </w:pPr>
      <w:r>
        <w:t xml:space="preserve">the</w:t>
      </w:r>
      <w:r>
        <w:t xml:space="preserve"> </w:t>
      </w:r>
      <w:r>
        <w:rPr>
          <w:b/>
          <w:bCs/>
        </w:rPr>
        <w:t xml:space="preserve">interest differential</w:t>
      </w:r>
      <w:r>
        <w:t xml:space="preserve">, and</w:t>
      </w:r>
    </w:p>
    <w:p>
      <w:pPr>
        <w:pStyle w:val="Compact"/>
        <w:numPr>
          <w:ilvl w:val="0"/>
          <w:numId w:val="1020"/>
        </w:numPr>
      </w:pPr>
      <w:r>
        <w:t xml:space="preserve">the</w:t>
      </w:r>
      <w:r>
        <w:t xml:space="preserve"> </w:t>
      </w:r>
      <w:r>
        <w:rPr>
          <w:b/>
          <w:bCs/>
        </w:rPr>
        <w:t xml:space="preserve">forward premium or cost of cover</w:t>
      </w:r>
      <w:r>
        <w:t xml:space="preserve">.</w:t>
      </w:r>
    </w:p>
    <w:bookmarkStart w:id="58" w:name="arbitrage-rule-of-thumb"/>
    <w:p>
      <w:pPr>
        <w:pStyle w:val="Heading5"/>
      </w:pPr>
      <w:r>
        <w:t xml:space="preserve">6.2.6.2.1 Arbitrage Rule of Thumb</w:t>
      </w:r>
    </w:p>
    <w:p>
      <w:pPr>
        <w:pStyle w:val="Compact"/>
        <w:numPr>
          <w:ilvl w:val="0"/>
          <w:numId w:val="1021"/>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1"/>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bookmarkEnd w:id="58"/>
    <w:bookmarkEnd w:id="59"/>
    <w:bookmarkStart w:id="60" w:name="how-cia-restores-equilibrium"/>
    <w:p>
      <w:pPr>
        <w:pStyle w:val="Heading4"/>
      </w:pPr>
      <w:r>
        <w:t xml:space="preserve">6.2.6.3 How CIA Restores Equilibrium</w:t>
      </w:r>
    </w:p>
    <w:p>
      <w:pPr>
        <w:pStyle w:val="FirstParagraph"/>
      </w:pPr>
      <w:r>
        <w:t xml:space="preserve">Covered interest arbitrage pushes markets back toward IRP because:</w:t>
      </w:r>
    </w:p>
    <w:p>
      <w:pPr>
        <w:pStyle w:val="Compact"/>
        <w:numPr>
          <w:ilvl w:val="0"/>
          <w:numId w:val="1022"/>
        </w:numPr>
      </w:pPr>
      <w:r>
        <w:t xml:space="preserve">buying the foreign currency spot and selling it forward narrows the forward premium;</w:t>
      </w:r>
    </w:p>
    <w:p>
      <w:pPr>
        <w:pStyle w:val="Compact"/>
        <w:numPr>
          <w:ilvl w:val="0"/>
          <w:numId w:val="1022"/>
        </w:numPr>
      </w:pPr>
      <w:r>
        <w:t xml:space="preserve">capital flowing into the foreign money market pushes that foreign interest rate down;</w:t>
      </w:r>
    </w:p>
    <w:p>
      <w:pPr>
        <w:pStyle w:val="Compact"/>
        <w:numPr>
          <w:ilvl w:val="0"/>
          <w:numId w:val="1022"/>
        </w:numPr>
      </w:pPr>
      <w:r>
        <w:t xml:space="preserve">capital leaving the domestic money market pushes the domestic rate up.</w:t>
      </w:r>
    </w:p>
    <w:p>
      <w:pPr>
        <w:pStyle w:val="FirstParagraph"/>
      </w:pPr>
      <w:r>
        <w:t xml:space="preserve">Arbitrage therefore destroys the arbitrage opportunity.</w:t>
      </w:r>
    </w:p>
    <w:bookmarkEnd w:id="60"/>
    <w:bookmarkEnd w:id="61"/>
    <w:bookmarkStart w:id="64"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3"/>
        </w:numPr>
      </w:pPr>
      <w:r>
        <w:t xml:space="preserve">borrows in a low-interest-rate currency,</w:t>
      </w:r>
    </w:p>
    <w:p>
      <w:pPr>
        <w:pStyle w:val="Compact"/>
        <w:numPr>
          <w:ilvl w:val="0"/>
          <w:numId w:val="1023"/>
        </w:numPr>
      </w:pPr>
      <w:r>
        <w:t xml:space="preserve">converts into a higher-interest-rate currency,</w:t>
      </w:r>
    </w:p>
    <w:p>
      <w:pPr>
        <w:pStyle w:val="Compact"/>
        <w:numPr>
          <w:ilvl w:val="0"/>
          <w:numId w:val="1023"/>
        </w:numPr>
      </w:pPr>
      <w:r>
        <w:t xml:space="preserve">invests at the higher rate,</w:t>
      </w:r>
    </w:p>
    <w:p>
      <w:pPr>
        <w:pStyle w:val="Compact"/>
        <w:numPr>
          <w:ilvl w:val="0"/>
          <w:numId w:val="1023"/>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62"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62"/>
    <w:bookmarkStart w:id="63"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63"/>
    <w:bookmarkEnd w:id="64"/>
    <w:bookmarkStart w:id="66"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4"/>
        </w:numPr>
      </w:pPr>
      <w:r>
        <w:t xml:space="preserve">interest rate differentials, and</w:t>
      </w:r>
    </w:p>
    <w:p>
      <w:pPr>
        <w:pStyle w:val="Compact"/>
        <w:numPr>
          <w:ilvl w:val="0"/>
          <w:numId w:val="1024"/>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5"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5"/>
    <w:bookmarkEnd w:id="66"/>
    <w:bookmarkEnd w:id="67"/>
    <w:bookmarkStart w:id="72"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9"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8"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5"/>
        </w:numPr>
      </w:pPr>
      <w:r>
        <w:t xml:space="preserve">all relevant information is quickly reflected in spot and forward rates;</w:t>
      </w:r>
    </w:p>
    <w:p>
      <w:pPr>
        <w:pStyle w:val="Compact"/>
        <w:numPr>
          <w:ilvl w:val="0"/>
          <w:numId w:val="1025"/>
        </w:numPr>
      </w:pPr>
      <w:r>
        <w:t xml:space="preserve">transaction costs are low;</w:t>
      </w:r>
    </w:p>
    <w:p>
      <w:pPr>
        <w:pStyle w:val="Compact"/>
        <w:numPr>
          <w:ilvl w:val="0"/>
          <w:numId w:val="1025"/>
        </w:numPr>
      </w:pPr>
      <w:r>
        <w:t xml:space="preserve">assets denominated in different currencies are close substitutes.</w:t>
      </w:r>
    </w:p>
    <w:p>
      <w:pPr>
        <w:pStyle w:val="FirstParagraph"/>
      </w:pPr>
      <w:r>
        <w:t xml:space="preserve">Under those conditions, there is little room for systematic forecasting profit.</w:t>
      </w:r>
    </w:p>
    <w:bookmarkEnd w:id="68"/>
    <w:bookmarkEnd w:id="69"/>
    <w:bookmarkStart w:id="71"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70"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6"/>
        </w:numPr>
      </w:pPr>
      <w:r>
        <w:t xml:space="preserve">a market-implied benchmark,</w:t>
      </w:r>
    </w:p>
    <w:p>
      <w:pPr>
        <w:pStyle w:val="Compact"/>
        <w:numPr>
          <w:ilvl w:val="0"/>
          <w:numId w:val="1026"/>
        </w:numPr>
      </w:pPr>
      <w:r>
        <w:t xml:space="preserve">a hedging price,</w:t>
      </w:r>
    </w:p>
    <w:p>
      <w:pPr>
        <w:pStyle w:val="Compact"/>
        <w:numPr>
          <w:ilvl w:val="0"/>
          <w:numId w:val="1026"/>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70"/>
    <w:bookmarkEnd w:id="71"/>
    <w:bookmarkEnd w:id="72"/>
    <w:bookmarkStart w:id="81"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7"/>
        </w:numPr>
      </w:pPr>
      <w:r>
        <w:t xml:space="preserve">forecast inflation in Japan = 1%,</w:t>
      </w:r>
    </w:p>
    <w:p>
      <w:pPr>
        <w:pStyle w:val="Compact"/>
        <w:numPr>
          <w:ilvl w:val="0"/>
          <w:numId w:val="1027"/>
        </w:numPr>
      </w:pPr>
      <w:r>
        <w:t xml:space="preserve">forecast inflation in the United States = 5%,</w:t>
      </w:r>
    </w:p>
    <w:p>
      <w:pPr>
        <w:pStyle w:val="Compact"/>
        <w:numPr>
          <w:ilvl w:val="0"/>
          <w:numId w:val="1027"/>
        </w:numPr>
      </w:pPr>
      <w:r>
        <w:t xml:space="preserve">nominal interest rate in Japan = 4%,</w:t>
      </w:r>
    </w:p>
    <w:p>
      <w:pPr>
        <w:pStyle w:val="Compact"/>
        <w:numPr>
          <w:ilvl w:val="0"/>
          <w:numId w:val="1027"/>
        </w:numPr>
      </w:pPr>
      <w:r>
        <w:t xml:space="preserve">nominal interest rate in the United States = 8%,</w:t>
      </w:r>
    </w:p>
    <w:p>
      <w:pPr>
        <w:pStyle w:val="Compact"/>
        <w:numPr>
          <w:ilvl w:val="0"/>
          <w:numId w:val="1027"/>
        </w:numPr>
      </w:pPr>
      <w:r>
        <w:t xml:space="preserve">spot rate = 104 yen per dollar,</w:t>
      </w:r>
    </w:p>
    <w:p>
      <w:pPr>
        <w:pStyle w:val="Compact"/>
        <w:numPr>
          <w:ilvl w:val="0"/>
          <w:numId w:val="1027"/>
        </w:numPr>
      </w:pPr>
      <w:r>
        <w:t xml:space="preserve">one-year forward rate = 100 yen per dollar.</w:t>
      </w:r>
    </w:p>
    <w:bookmarkStart w:id="73"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3"/>
    <w:bookmarkStart w:id="74"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4"/>
    <w:bookmarkStart w:id="75"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5"/>
    <w:bookmarkStart w:id="76"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6"/>
    <w:bookmarkStart w:id="78"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7"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8"/>
        </w:numPr>
      </w:pPr>
      <w:r>
        <w:t xml:space="preserve">the inflation differential,</w:t>
      </w:r>
    </w:p>
    <w:p>
      <w:pPr>
        <w:pStyle w:val="Compact"/>
        <w:numPr>
          <w:ilvl w:val="0"/>
          <w:numId w:val="1028"/>
        </w:numPr>
      </w:pPr>
      <w:r>
        <w:t xml:space="preserve">the nominal interest differential,</w:t>
      </w:r>
    </w:p>
    <w:p>
      <w:pPr>
        <w:pStyle w:val="Compact"/>
        <w:numPr>
          <w:ilvl w:val="0"/>
          <w:numId w:val="1028"/>
        </w:numPr>
      </w:pPr>
      <w:r>
        <w:t xml:space="preserve">the expected change in the spot exchange rate,</w:t>
      </w:r>
    </w:p>
    <w:p>
      <w:pPr>
        <w:pStyle w:val="Compact"/>
        <w:numPr>
          <w:ilvl w:val="0"/>
          <w:numId w:val="1028"/>
        </w:numPr>
      </w:pPr>
      <w:r>
        <w:t xml:space="preserve">the forward premium or discount,</w:t>
      </w:r>
    </w:p>
    <w:p>
      <w:pPr>
        <w:pStyle w:val="Compact"/>
        <w:numPr>
          <w:ilvl w:val="0"/>
          <w:numId w:val="1028"/>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7"/>
    <w:bookmarkEnd w:id="78"/>
    <w:bookmarkStart w:id="79"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9"/>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9"/>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9"/>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9"/>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9"/>
        </w:numPr>
      </w:pPr>
      <w:r>
        <w:rPr>
          <w:b/>
          <w:bCs/>
        </w:rPr>
        <w:t xml:space="preserve">Exchange rate pass-through</w:t>
      </w:r>
      <w:r>
        <w:t xml:space="preserve"> </w:t>
      </w:r>
      <w:r>
        <w:t xml:space="preserve">is often partial because firms manage pricing strategically.</w:t>
      </w:r>
    </w:p>
    <w:p>
      <w:pPr>
        <w:pStyle w:val="Compact"/>
        <w:numPr>
          <w:ilvl w:val="0"/>
          <w:numId w:val="1029"/>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9"/>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9"/>
        </w:numPr>
      </w:pPr>
      <w:r>
        <w:rPr>
          <w:b/>
          <w:bCs/>
        </w:rPr>
        <w:t xml:space="preserve">Forward rates</w:t>
      </w:r>
      <w:r>
        <w:t xml:space="preserve"> </w:t>
      </w:r>
      <w:r>
        <w:t xml:space="preserve">are determined by spot rates and interest differentials.</w:t>
      </w:r>
    </w:p>
    <w:p>
      <w:pPr>
        <w:pStyle w:val="Compact"/>
        <w:numPr>
          <w:ilvl w:val="0"/>
          <w:numId w:val="1029"/>
        </w:numPr>
      </w:pPr>
      <w:r>
        <w:rPr>
          <w:b/>
          <w:bCs/>
        </w:rPr>
        <w:t xml:space="preserve">Interest rate parity</w:t>
      </w:r>
      <w:r>
        <w:t xml:space="preserve"> </w:t>
      </w:r>
      <w:r>
        <w:t xml:space="preserve">explains why covered arbitrage profits should not persist.</w:t>
      </w:r>
    </w:p>
    <w:p>
      <w:pPr>
        <w:pStyle w:val="Compact"/>
        <w:numPr>
          <w:ilvl w:val="0"/>
          <w:numId w:val="1029"/>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9"/>
        </w:numPr>
      </w:pPr>
      <w:r>
        <w:t xml:space="preserve">The forward rate is not necessarily a perfect forecast, even if it is a key market benchmark.</w:t>
      </w:r>
    </w:p>
    <w:p>
      <w:pPr>
        <w:pStyle w:val="Compact"/>
        <w:numPr>
          <w:ilvl w:val="0"/>
          <w:numId w:val="1029"/>
        </w:numPr>
      </w:pPr>
      <w:r>
        <w:t xml:space="preserve">In equilibrium, prices, inflation, interest rates, forward rates, and exchange rates fit together as one system.</w:t>
      </w:r>
    </w:p>
    <w:bookmarkEnd w:id="79"/>
    <w:bookmarkStart w:id="80" w:name="suggested-review-questions"/>
    <w:p>
      <w:pPr>
        <w:pStyle w:val="Heading3"/>
      </w:pPr>
      <w:r>
        <w:t xml:space="preserve">Suggested Review Questions</w:t>
      </w:r>
    </w:p>
    <w:p>
      <w:pPr>
        <w:pStyle w:val="Compact"/>
        <w:numPr>
          <w:ilvl w:val="0"/>
          <w:numId w:val="1030"/>
        </w:numPr>
      </w:pPr>
      <w:r>
        <w:t xml:space="preserve">Why does the law of one price rarely hold perfectly in practice?</w:t>
      </w:r>
    </w:p>
    <w:p>
      <w:pPr>
        <w:pStyle w:val="Compact"/>
        <w:numPr>
          <w:ilvl w:val="0"/>
          <w:numId w:val="1030"/>
        </w:numPr>
      </w:pPr>
      <w:r>
        <w:t xml:space="preserve">What is the difference between absolute PPP and relative PPP?</w:t>
      </w:r>
    </w:p>
    <w:p>
      <w:pPr>
        <w:pStyle w:val="Compact"/>
        <w:numPr>
          <w:ilvl w:val="0"/>
          <w:numId w:val="1030"/>
        </w:numPr>
      </w:pPr>
      <w:r>
        <w:t xml:space="preserve">Why can a currency remain away from PPP for long periods?</w:t>
      </w:r>
    </w:p>
    <w:p>
      <w:pPr>
        <w:pStyle w:val="Compact"/>
        <w:numPr>
          <w:ilvl w:val="0"/>
          <w:numId w:val="1030"/>
        </w:numPr>
      </w:pPr>
      <w:r>
        <w:t xml:space="preserve">What does a real effective exchange rate above 100 suggest?</w:t>
      </w:r>
    </w:p>
    <w:p>
      <w:pPr>
        <w:pStyle w:val="Compact"/>
        <w:numPr>
          <w:ilvl w:val="0"/>
          <w:numId w:val="1030"/>
        </w:numPr>
      </w:pPr>
      <w:r>
        <w:t xml:space="preserve">Why might a firm choose only partial exchange rate pass-through?</w:t>
      </w:r>
    </w:p>
    <w:p>
      <w:pPr>
        <w:pStyle w:val="Compact"/>
        <w:numPr>
          <w:ilvl w:val="0"/>
          <w:numId w:val="1030"/>
        </w:numPr>
      </w:pPr>
      <w:r>
        <w:t xml:space="preserve">Why do high nominal interest rates not always attract capital?</w:t>
      </w:r>
    </w:p>
    <w:p>
      <w:pPr>
        <w:pStyle w:val="Compact"/>
        <w:numPr>
          <w:ilvl w:val="0"/>
          <w:numId w:val="1030"/>
        </w:numPr>
      </w:pPr>
      <w:r>
        <w:t xml:space="preserve">Why is the forward rate a pricing relationship rather than automatically a forecast?</w:t>
      </w:r>
    </w:p>
    <w:p>
      <w:pPr>
        <w:pStyle w:val="Compact"/>
        <w:numPr>
          <w:ilvl w:val="0"/>
          <w:numId w:val="1030"/>
        </w:numPr>
      </w:pPr>
      <w:r>
        <w:t xml:space="preserve">What makes covered interest arbitrage different from uncovered interest arbitrage?</w:t>
      </w:r>
    </w:p>
    <w:p>
      <w:pPr>
        <w:pStyle w:val="Compact"/>
        <w:numPr>
          <w:ilvl w:val="0"/>
          <w:numId w:val="1030"/>
        </w:numPr>
      </w:pPr>
      <w:r>
        <w:t xml:space="preserve">Why does the yen carry trade offer profit opportunities but also substantial risk?</w:t>
      </w:r>
    </w:p>
    <w:p>
      <w:pPr>
        <w:pStyle w:val="Compact"/>
        <w:numPr>
          <w:ilvl w:val="0"/>
          <w:numId w:val="1030"/>
        </w:numPr>
      </w:pPr>
      <w:r>
        <w:t xml:space="preserve">How do the parity conditions connect in the final equilibrium framework?</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2026-03-09T03:18:50Z</dcterms:created>
  <dcterms:modified xsi:type="dcterms:W3CDTF">2026-03-09T03:18:50Z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