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2026-04-07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provides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we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9"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then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 (LOOP)</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times the Yen Spot rate,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same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C</m:t>
              </m:r>
              <m:r>
                <m:t>N</m:t>
              </m:r>
              <m:r>
                <m:t>Y</m:t>
              </m:r>
              <m:r>
                <m:t>22.4</m:t>
              </m:r>
            </m:num>
            <m:den>
              <m:r>
                <m:t>U</m:t>
              </m:r>
              <m:r>
                <m:t>S</m:t>
              </m:r>
              <m:r>
                <m:t>D</m:t>
              </m:r>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 (Google the song);</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7"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X2974ff281443a5a0035c88deb93b85cd7007ae2"/>
    <w:p>
      <w:pPr>
        <w:pStyle w:val="Heading4"/>
      </w:pPr>
      <w:r>
        <w:t xml:space="preserve">6.1.2.1 Numerical Example: Relative Purchasing Power Parity</w:t>
      </w:r>
    </w:p>
    <w:p>
      <w:pPr>
        <w:pStyle w:val="FirstParagraph"/>
      </w:pPr>
      <w:r>
        <w:t xml:space="preserve">Suppose we compare the United States and Japan.</w:t>
      </w:r>
    </w:p>
    <w:p>
      <w:pPr>
        <w:pStyle w:val="BodyText"/>
      </w:pPr>
      <w:r>
        <w:t xml:space="preserve">The current exchange rate is:</w:t>
      </w:r>
    </w:p>
    <w:p>
      <w:pPr>
        <w:pStyle w:val="BodyText"/>
      </w:pPr>
      <m:oMathPara>
        <m:oMathParaPr>
          <m:jc m:val="center"/>
        </m:oMathParaPr>
        <m:oMath>
          <m:sSub>
            <m:e>
              <m:r>
                <m:t>S</m:t>
              </m:r>
            </m:e>
            <m:sub>
              <m:r>
                <m:t>0</m:t>
              </m:r>
            </m:sub>
          </m:sSub>
          <m:r>
            <m:rPr>
              <m:sty m:val="p"/>
            </m:rPr>
            <m:t>=</m:t>
          </m:r>
          <m:r>
            <m:t>110</m:t>
          </m:r>
          <m:r>
            <m:rPr>
              <m:nor/>
              <m:sty m:val="p"/>
            </m:rPr>
            <m:t> yen per dollar</m:t>
          </m:r>
        </m:oMath>
      </m:oMathPara>
    </w:p>
    <w:p>
      <w:pPr>
        <w:pStyle w:val="FirstParagraph"/>
      </w:pPr>
      <w:r>
        <w:t xml:space="preserve">Assume the following inflation rates:</w:t>
      </w:r>
    </w:p>
    <w:p>
      <w:pPr>
        <w:pStyle w:val="Compact"/>
        <w:numPr>
          <w:ilvl w:val="0"/>
          <w:numId w:val="1004"/>
        </w:numPr>
      </w:pPr>
      <w:r>
        <w:t xml:space="preserve">U.S. inflation: 5%</w:t>
      </w:r>
      <w:r>
        <w:br/>
      </w:r>
    </w:p>
    <w:p>
      <w:pPr>
        <w:pStyle w:val="Compact"/>
        <w:numPr>
          <w:ilvl w:val="0"/>
          <w:numId w:val="1004"/>
        </w:numPr>
      </w:pPr>
      <w:r>
        <w:t xml:space="preserve">Japan inflation: 2%</w:t>
      </w:r>
      <w:r>
        <w:br/>
      </w:r>
    </w:p>
    <w:p>
      <w:r>
        <w:pict>
          <v:rect style="width:0;height:1.5pt" o:hralign="center" o:hrstd="t" o:hr="t"/>
        </w:pict>
      </w:r>
    </w:p>
    <w:p>
      <w:pPr>
        <w:pStyle w:val="FirstParagraph"/>
      </w:pPr>
      <w:r>
        <w:rPr>
          <w:b/>
          <w:bCs/>
        </w:rPr>
        <w:t xml:space="preserve">Step 1: Apply the Relative PPP Formula</w:t>
      </w:r>
    </w:p>
    <w:p>
      <w:pPr>
        <w:pStyle w:val="BodyText"/>
      </w:pPr>
      <w:r>
        <w:t xml:space="preserve">Relative PPP states that the expected percentage change in the exchange rate is approximately equal to the difference in inflation rates between the two countries:</w:t>
      </w:r>
    </w:p>
    <w:p>
      <w:pPr>
        <w:pStyle w:val="BodyText"/>
      </w:pPr>
      <m:oMathPara>
        <m:oMathParaPr>
          <m:jc m:val="center"/>
        </m:oMathParaPr>
        <m:oMath>
          <m:r>
            <m:rPr>
              <m:sty m:val="p"/>
            </m:rPr>
            <m:t>%</m:t>
          </m:r>
          <m:r>
            <m:t>Δ</m:t>
          </m:r>
          <m:r>
            <m:t>S</m:t>
          </m:r>
          <m:r>
            <m:rPr>
              <m:sty m:val="p"/>
            </m:rPr>
            <m:t>≈</m:t>
          </m:r>
          <m:sSub>
            <m:e>
              <m:r>
                <m:t>π</m:t>
              </m:r>
            </m:e>
            <m:sub>
              <m:r>
                <m:t>f</m:t>
              </m:r>
              <m:r>
                <m:t>o</m:t>
              </m:r>
              <m:r>
                <m:t>r</m:t>
              </m:r>
              <m:r>
                <m:t>e</m:t>
              </m:r>
              <m:r>
                <m:t>i</m:t>
              </m:r>
              <m:r>
                <m:t>g</m:t>
              </m:r>
              <m:r>
                <m:t>n</m:t>
              </m:r>
            </m:sub>
          </m:sSub>
          <m:r>
            <m:rPr>
              <m:sty m:val="p"/>
            </m:rPr>
            <m:t>−</m:t>
          </m:r>
          <m:sSub>
            <m:e>
              <m:r>
                <m:t>π</m:t>
              </m:r>
            </m:e>
            <m:sub>
              <m:r>
                <m:t>d</m:t>
              </m:r>
              <m:r>
                <m:t>o</m:t>
              </m:r>
              <m:r>
                <m:t>m</m:t>
              </m:r>
              <m:r>
                <m:t>e</m:t>
              </m:r>
              <m:r>
                <m:t>s</m:t>
              </m:r>
              <m:r>
                <m:t>t</m:t>
              </m:r>
              <m:r>
                <m:t>i</m:t>
              </m:r>
              <m:r>
                <m:t>c</m:t>
              </m:r>
            </m:sub>
          </m:sSub>
        </m:oMath>
      </m:oMathPara>
    </w:p>
    <w:p>
      <w:pPr>
        <w:pStyle w:val="FirstParagraph"/>
      </w:pPr>
      <w:r>
        <w:t xml:space="preserve">For this example:</w:t>
      </w:r>
    </w:p>
    <w:p>
      <w:pPr>
        <w:pStyle w:val="Compact"/>
        <w:numPr>
          <w:ilvl w:val="0"/>
          <w:numId w:val="1005"/>
        </w:numPr>
      </w:pPr>
      <w:r>
        <w:t xml:space="preserve">Foreign country = Japan</w:t>
      </w:r>
      <w:r>
        <w:br/>
      </w:r>
    </w:p>
    <w:p>
      <w:pPr>
        <w:pStyle w:val="Compact"/>
        <w:numPr>
          <w:ilvl w:val="0"/>
          <w:numId w:val="1005"/>
        </w:numPr>
      </w:pPr>
      <w:r>
        <w:t xml:space="preserve">Domestic country = United States</w:t>
      </w:r>
    </w:p>
    <w:p>
      <w:pPr>
        <w:pStyle w:val="FirstParagraph"/>
      </w:pPr>
      <w:r>
        <w:t xml:space="preserve">Therefore,</w:t>
      </w:r>
    </w:p>
    <w:p>
      <w:pPr>
        <w:pStyle w:val="BodyText"/>
      </w:pPr>
      <m:oMathPara>
        <m:oMathParaPr>
          <m:jc m:val="center"/>
        </m:oMathParaPr>
        <m:oMath>
          <m:r>
            <m:rPr>
              <m:sty m:val="p"/>
            </m:rPr>
            <m:t>%</m:t>
          </m:r>
          <m:r>
            <m:t>Δ</m:t>
          </m:r>
          <m:r>
            <m:t>S</m:t>
          </m:r>
          <m:r>
            <m:rPr>
              <m:sty m:val="p"/>
            </m:rPr>
            <m:t>≈</m:t>
          </m:r>
          <m:r>
            <m:t>2</m:t>
          </m:r>
          <m:r>
            <m:rPr>
              <m:sty m:val="p"/>
            </m:rPr>
            <m:t>%</m:t>
          </m:r>
          <m:r>
            <m:rPr>
              <m:sty m:val="p"/>
            </m:rPr>
            <m:t>−</m:t>
          </m:r>
          <m:r>
            <m:t>5</m:t>
          </m:r>
          <m:r>
            <m:rPr>
              <m:sty m:val="p"/>
            </m:rPr>
            <m:t>%</m:t>
          </m:r>
        </m:oMath>
      </m:oMathPara>
    </w:p>
    <w:p>
      <w:pPr>
        <w:pStyle w:val="FirstParagraph"/>
      </w:pPr>
      <m:oMathPara>
        <m:oMathParaPr>
          <m:jc m:val="center"/>
        </m:oMathParaPr>
        <m:oMath>
          <m:r>
            <m:rPr>
              <m:sty m:val="p"/>
            </m:rPr>
            <m:t>%</m:t>
          </m:r>
          <m:r>
            <m:t>Δ</m:t>
          </m:r>
          <m:r>
            <m:t>S</m:t>
          </m:r>
          <m:r>
            <m:rPr>
              <m:sty m:val="p"/>
            </m:rPr>
            <m:t>≈</m:t>
          </m:r>
          <m:r>
            <m:rPr>
              <m:sty m:val="p"/>
            </m:rPr>
            <m:t>−</m:t>
          </m:r>
          <m:r>
            <m:t>3</m:t>
          </m:r>
          <m:r>
            <m:rPr>
              <m:sty m:val="p"/>
            </m:rPr>
            <m:t>%</m:t>
          </m:r>
        </m:oMath>
      </m:oMathPara>
    </w:p>
    <w:p>
      <w:r>
        <w:pict>
          <v:rect style="width:0;height:1.5pt" o:hralign="center" o:hrstd="t" o:hr="t"/>
        </w:pict>
      </w:r>
    </w:p>
    <w:p>
      <w:pPr>
        <w:pStyle w:val="FirstParagraph"/>
      </w:pPr>
      <w:r>
        <w:rPr>
          <w:b/>
          <w:bCs/>
        </w:rPr>
        <w:t xml:space="preserve">Step 2: Interpret the Result</w:t>
      </w:r>
    </w:p>
    <w:p>
      <w:pPr>
        <w:pStyle w:val="BodyText"/>
      </w:pPr>
      <w:r>
        <w:t xml:space="preserve">A negative value means the exchange rate (S) will</w:t>
      </w:r>
      <w:r>
        <w:t xml:space="preserve"> </w:t>
      </w:r>
      <w:r>
        <w:rPr>
          <w:b/>
          <w:bCs/>
        </w:rPr>
        <w:t xml:space="preserve">fall</w:t>
      </w:r>
      <w:r>
        <w:t xml:space="preserve">.</w:t>
      </w:r>
    </w:p>
    <w:p>
      <w:pPr>
        <w:pStyle w:val="BodyText"/>
      </w:pPr>
      <w:r>
        <w:t xml:space="preserve">Since (S) is expressed as</w:t>
      </w:r>
      <w:r>
        <w:t xml:space="preserve"> </w:t>
      </w:r>
      <w:r>
        <w:rPr>
          <w:b/>
          <w:bCs/>
        </w:rPr>
        <w:t xml:space="preserve">yen per dollar</w:t>
      </w:r>
      <w:r>
        <w:t xml:space="preserve">, a decrease means the</w:t>
      </w:r>
      <w:r>
        <w:t xml:space="preserve"> </w:t>
      </w:r>
      <w:r>
        <w:rPr>
          <w:b/>
          <w:bCs/>
        </w:rPr>
        <w:t xml:space="preserve">dollar depreciates relative to the yen</w:t>
      </w:r>
      <w:r>
        <w:t xml:space="preserve">.</w:t>
      </w:r>
    </w:p>
    <w:p>
      <w:pPr>
        <w:pStyle w:val="BodyText"/>
      </w:pPr>
      <w:r>
        <w:t xml:space="preserve">This occurs because</w:t>
      </w:r>
      <w:r>
        <w:t xml:space="preserve"> </w:t>
      </w:r>
      <w:r>
        <w:rPr>
          <w:b/>
          <w:bCs/>
        </w:rPr>
        <w:t xml:space="preserve">U.S. inflation is higher</w:t>
      </w:r>
      <w:r>
        <w:t xml:space="preserve">, making U.S. goods relatively more expensive.</w:t>
      </w:r>
    </w:p>
    <w:p>
      <w:r>
        <w:pict>
          <v:rect style="width:0;height:1.5pt" o:hralign="center" o:hrstd="t" o:hr="t"/>
        </w:pict>
      </w:r>
    </w:p>
    <w:p>
      <w:pPr>
        <w:pStyle w:val="FirstParagraph"/>
      </w:pPr>
      <w:r>
        <w:rPr>
          <w:b/>
          <w:bCs/>
        </w:rPr>
        <w:t xml:space="preserve">Step 3: Calculate the New Exchange Rate</w:t>
      </w:r>
    </w:p>
    <w:p>
      <w:pPr>
        <w:pStyle w:val="BodyText"/>
      </w:pPr>
      <w:r>
        <w:t xml:space="preserve">Initial exchange rate:</w:t>
      </w:r>
    </w:p>
    <w:p>
      <w:pPr>
        <w:pStyle w:val="BodyText"/>
      </w:pPr>
      <m:oMathPara>
        <m:oMathParaPr>
          <m:jc m:val="center"/>
        </m:oMathParaPr>
        <m:oMath>
          <m:sSub>
            <m:e>
              <m:r>
                <m:t>S</m:t>
              </m:r>
            </m:e>
            <m:sub>
              <m:r>
                <m:t>0</m:t>
              </m:r>
            </m:sub>
          </m:sSub>
          <m:r>
            <m:rPr>
              <m:sty m:val="p"/>
            </m:rPr>
            <m:t>=</m:t>
          </m:r>
          <m:r>
            <m:t>110</m:t>
          </m:r>
        </m:oMath>
      </m:oMathPara>
    </w:p>
    <w:p>
      <w:pPr>
        <w:pStyle w:val="FirstParagraph"/>
      </w:pPr>
      <w:r>
        <w:t xml:space="preserve">Expected percentage change:</w:t>
      </w:r>
    </w:p>
    <w:p>
      <w:pPr>
        <w:pStyle w:val="BodyText"/>
      </w:pPr>
      <m:oMathPara>
        <m:oMathParaPr>
          <m:jc m:val="center"/>
        </m:oMathParaPr>
        <m:oMath>
          <m:r>
            <m:rPr>
              <m:sty m:val="p"/>
            </m:rPr>
            <m:t>−</m:t>
          </m:r>
          <m:r>
            <m:t>3</m:t>
          </m:r>
          <m:r>
            <m:rPr>
              <m:sty m:val="p"/>
            </m:rPr>
            <m:t>%</m:t>
          </m:r>
        </m:oMath>
      </m:oMathPara>
    </w:p>
    <w:p>
      <w:pPr>
        <w:pStyle w:val="FirstParagraph"/>
      </w:pPr>
      <w:r>
        <w:t xml:space="preserve">Calculate the change in the exchange rate:</w:t>
      </w:r>
    </w:p>
    <w:p>
      <w:pPr>
        <w:pStyle w:val="BodyText"/>
      </w:pPr>
      <m:oMathPara>
        <m:oMathParaPr>
          <m:jc m:val="center"/>
        </m:oMathParaPr>
        <m:oMath>
          <m:r>
            <m:t>110</m:t>
          </m:r>
          <m:r>
            <m:rPr>
              <m:sty m:val="p"/>
            </m:rPr>
            <m:t>×</m:t>
          </m:r>
          <m:r>
            <m:t>0.03</m:t>
          </m:r>
          <m:r>
            <m:rPr>
              <m:sty m:val="p"/>
            </m:rPr>
            <m:t>=</m:t>
          </m:r>
          <m:r>
            <m:t>3.3</m:t>
          </m:r>
        </m:oMath>
      </m:oMathPara>
    </w:p>
    <w:p>
      <w:pPr>
        <w:pStyle w:val="FirstParagraph"/>
      </w:pPr>
      <w:r>
        <w:t xml:space="preserve">New exchange rate:</w:t>
      </w:r>
    </w:p>
    <w:p>
      <w:pPr>
        <w:pStyle w:val="BodyText"/>
      </w:pPr>
      <m:oMathPara>
        <m:oMathParaPr>
          <m:jc m:val="center"/>
        </m:oMathParaPr>
        <m:oMath>
          <m:sSub>
            <m:e>
              <m:r>
                <m:t>S</m:t>
              </m:r>
            </m:e>
            <m:sub>
              <m:r>
                <m:t>1</m:t>
              </m:r>
            </m:sub>
          </m:sSub>
          <m:r>
            <m:rPr>
              <m:sty m:val="p"/>
            </m:rPr>
            <m:t>=</m:t>
          </m:r>
          <m:r>
            <m:t>110</m:t>
          </m:r>
          <m:r>
            <m:rPr>
              <m:sty m:val="p"/>
            </m:rPr>
            <m:t>−</m:t>
          </m:r>
          <m:r>
            <m:t>3.3</m:t>
          </m:r>
        </m:oMath>
      </m:oMathPara>
    </w:p>
    <w:p>
      <w:pPr>
        <w:pStyle w:val="FirstParagraph"/>
      </w:pPr>
      <m:oMathPara>
        <m:oMathParaPr>
          <m:jc m:val="center"/>
        </m:oMathParaPr>
        <m:oMath>
          <m:sSub>
            <m:e>
              <m:r>
                <m:t>S</m:t>
              </m:r>
            </m:e>
            <m:sub>
              <m:r>
                <m:t>1</m:t>
              </m:r>
            </m:sub>
          </m:sSub>
          <m:r>
            <m:rPr>
              <m:sty m:val="p"/>
            </m:rPr>
            <m:t>≈</m:t>
          </m:r>
          <m:r>
            <m:t>106.7</m:t>
          </m:r>
        </m:oMath>
      </m:oMathPara>
    </w:p>
    <w:p>
      <w:r>
        <w:pict>
          <v:rect style="width:0;height:1.5pt" o:hralign="center" o:hrstd="t" o:hr="t"/>
        </w:pict>
      </w:r>
    </w:p>
    <w:p>
      <w:pPr>
        <w:pStyle w:val="FirstParagraph"/>
      </w:pPr>
      <w:r>
        <w:rPr>
          <w:b/>
          <w:bCs/>
        </w:rPr>
        <w:t xml:space="preserve">Final Result</w:t>
      </w:r>
    </w:p>
    <w:p>
      <w:pPr>
        <w:pStyle w:val="BodyText"/>
      </w:pPr>
      <w:r>
        <w:t xml:space="preserve">The exchange rate moves from:</w:t>
      </w:r>
    </w:p>
    <w:p>
      <w:pPr>
        <w:pStyle w:val="BodyText"/>
      </w:pPr>
      <m:oMathPara>
        <m:oMathParaPr>
          <m:jc m:val="center"/>
        </m:oMathParaPr>
        <m:oMath>
          <m:r>
            <m:t>110</m:t>
          </m:r>
          <m:r>
            <m:rPr>
              <m:sty m:val="p"/>
            </m:rPr>
            <m:t>→</m:t>
          </m:r>
          <m:r>
            <m:t>106.7</m:t>
          </m:r>
        </m:oMath>
      </m:oMathPara>
    </w:p>
    <w:p>
      <w:pPr>
        <w:pStyle w:val="FirstParagraph"/>
      </w:pPr>
      <w:r>
        <w:t xml:space="preserve">Meaning:</w:t>
      </w:r>
    </w:p>
    <w:p>
      <w:pPr>
        <w:pStyle w:val="BodyText"/>
      </w:pPr>
      <m:oMathPara>
        <m:oMathParaPr>
          <m:jc m:val="center"/>
        </m:oMathParaPr>
        <m:oMath>
          <m:r>
            <m:t>1</m:t>
          </m:r>
          <m:r>
            <m:rPr>
              <m:nor/>
              <m:sty m:val="p"/>
            </m:rPr>
            <m:t> dollar </m:t>
          </m:r>
          <m:r>
            <m:rPr>
              <m:sty m:val="p"/>
            </m:rPr>
            <m:t>=</m:t>
          </m:r>
          <m:r>
            <m:t>106.7</m:t>
          </m:r>
          <m:r>
            <m:rPr>
              <m:nor/>
              <m:sty m:val="p"/>
            </m:rPr>
            <m:t> yen</m:t>
          </m:r>
        </m:oMath>
      </m:oMathPara>
    </w:p>
    <w:p>
      <w:pPr>
        <w:pStyle w:val="FirstParagraph"/>
      </w:pPr>
      <w:r>
        <w:t xml:space="preserve">The</w:t>
      </w:r>
      <w:r>
        <w:t xml:space="preserve"> </w:t>
      </w:r>
      <w:r>
        <w:rPr>
          <w:b/>
          <w:bCs/>
        </w:rPr>
        <w:t xml:space="preserve">dollar depreciates</w:t>
      </w:r>
      <w:r>
        <w:t xml:space="preserve"> </w:t>
      </w:r>
      <w:r>
        <w:t xml:space="preserve">relative to the yen.</w:t>
      </w:r>
    </w:p>
    <w:p>
      <w:r>
        <w:pict>
          <v:rect style="width:0;height:1.5pt" o:hralign="center" o:hrstd="t" o:hr="t"/>
        </w:pict>
      </w:r>
    </w:p>
    <w:bookmarkEnd w:id="25"/>
    <w:bookmarkStart w:id="26" w:name="economic-intuition"/>
    <w:p>
      <w:pPr>
        <w:pStyle w:val="Heading4"/>
      </w:pPr>
      <w:r>
        <w:t xml:space="preserve">6.1.2.2 Economic Intuition</w:t>
      </w:r>
    </w:p>
    <w:p>
      <w:pPr>
        <w:pStyle w:val="FirstParagraph"/>
      </w:pPr>
      <w:r>
        <w:t xml:space="preserve">Because inflation in the United States is higher than in Japan:</w:t>
      </w:r>
    </w:p>
    <w:p>
      <w:pPr>
        <w:pStyle w:val="Compact"/>
        <w:numPr>
          <w:ilvl w:val="0"/>
          <w:numId w:val="1006"/>
        </w:numPr>
      </w:pPr>
      <w:r>
        <w:t xml:space="preserve">U.S. goods become</w:t>
      </w:r>
      <w:r>
        <w:t xml:space="preserve"> </w:t>
      </w:r>
      <w:r>
        <w:rPr>
          <w:b/>
          <w:bCs/>
        </w:rPr>
        <w:t xml:space="preserve">more expensive</w:t>
      </w:r>
    </w:p>
    <w:p>
      <w:pPr>
        <w:pStyle w:val="Compact"/>
        <w:numPr>
          <w:ilvl w:val="0"/>
          <w:numId w:val="1006"/>
        </w:numPr>
      </w:pPr>
      <w:r>
        <w:t xml:space="preserve">Japanese goods become</w:t>
      </w:r>
      <w:r>
        <w:t xml:space="preserve"> </w:t>
      </w:r>
      <w:r>
        <w:rPr>
          <w:b/>
          <w:bCs/>
        </w:rPr>
        <w:t xml:space="preserve">relatively cheaper</w:t>
      </w:r>
    </w:p>
    <w:p>
      <w:pPr>
        <w:pStyle w:val="FirstParagraph"/>
      </w:pPr>
      <w:r>
        <w:t xml:space="preserve">Consumers shift toward Japanese goods, increasing demand for yen.</w:t>
      </w:r>
      <w:r>
        <w:br/>
      </w:r>
      <w:r>
        <w:t xml:space="preserve">Higher demand for yen causes the</w:t>
      </w:r>
      <w:r>
        <w:t xml:space="preserve"> </w:t>
      </w:r>
      <w:r>
        <w:rPr>
          <w:b/>
          <w:bCs/>
        </w:rPr>
        <w:t xml:space="preserve">yen to appreciate</w:t>
      </w:r>
      <w:r>
        <w:t xml:space="preserve"> </w:t>
      </w:r>
      <w:r>
        <w:t xml:space="preserve">and the</w:t>
      </w:r>
      <w:r>
        <w:t xml:space="preserve"> </w:t>
      </w:r>
      <w:r>
        <w:rPr>
          <w:b/>
          <w:bCs/>
        </w:rPr>
        <w:t xml:space="preserve">dollar to depreciate</w:t>
      </w:r>
      <w:r>
        <w:t xml:space="preserve">.</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6"/>
    <w:bookmarkEnd w:id="27"/>
    <w:bookmarkStart w:id="28"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7"/>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7"/>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8"/>
        </w:numPr>
      </w:pPr>
      <w:r>
        <w:t xml:space="preserve">transportation costs are not zero;</w:t>
      </w:r>
    </w:p>
    <w:p>
      <w:pPr>
        <w:pStyle w:val="Compact"/>
        <w:numPr>
          <w:ilvl w:val="0"/>
          <w:numId w:val="1008"/>
        </w:numPr>
      </w:pPr>
      <w:r>
        <w:t xml:space="preserve">tariffs and trade barriers exist;</w:t>
      </w:r>
    </w:p>
    <w:p>
      <w:pPr>
        <w:pStyle w:val="Compact"/>
        <w:numPr>
          <w:ilvl w:val="0"/>
          <w:numId w:val="1008"/>
        </w:numPr>
      </w:pPr>
      <w:r>
        <w:t xml:space="preserve">many goods and most services are not perfectly tradable;</w:t>
      </w:r>
    </w:p>
    <w:p>
      <w:pPr>
        <w:pStyle w:val="Compact"/>
        <w:numPr>
          <w:ilvl w:val="0"/>
          <w:numId w:val="1008"/>
        </w:numPr>
      </w:pPr>
      <w:r>
        <w:t xml:space="preserve">product quality differs across countries;</w:t>
      </w:r>
    </w:p>
    <w:p>
      <w:pPr>
        <w:pStyle w:val="Compact"/>
        <w:numPr>
          <w:ilvl w:val="0"/>
          <w:numId w:val="1008"/>
        </w:numPr>
      </w:pPr>
      <w:r>
        <w:t xml:space="preserve">consumer tastes differ across countries;</w:t>
      </w:r>
    </w:p>
    <w:p>
      <w:pPr>
        <w:pStyle w:val="Compact"/>
        <w:numPr>
          <w:ilvl w:val="0"/>
          <w:numId w:val="1008"/>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8"/>
    <w:bookmarkStart w:id="32"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9"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9"/>
    <w:bookmarkStart w:id="30"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9"/>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9"/>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9"/>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30"/>
    <w:bookmarkStart w:id="31"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10"/>
        </w:numPr>
      </w:pPr>
      <w:r>
        <w:t xml:space="preserve">export planning,</w:t>
      </w:r>
    </w:p>
    <w:p>
      <w:pPr>
        <w:pStyle w:val="Compact"/>
        <w:numPr>
          <w:ilvl w:val="0"/>
          <w:numId w:val="1010"/>
        </w:numPr>
      </w:pPr>
      <w:r>
        <w:t xml:space="preserve">sourcing decisions,</w:t>
      </w:r>
    </w:p>
    <w:p>
      <w:pPr>
        <w:pStyle w:val="Compact"/>
        <w:numPr>
          <w:ilvl w:val="0"/>
          <w:numId w:val="1010"/>
        </w:numPr>
      </w:pPr>
      <w:r>
        <w:t xml:space="preserve">location decisions,</w:t>
      </w:r>
    </w:p>
    <w:p>
      <w:pPr>
        <w:pStyle w:val="Compact"/>
        <w:numPr>
          <w:ilvl w:val="0"/>
          <w:numId w:val="1010"/>
        </w:numPr>
      </w:pPr>
      <w:r>
        <w:t xml:space="preserve">balance of payments analysis.</w:t>
      </w:r>
    </w:p>
    <w:bookmarkEnd w:id="31"/>
    <w:bookmarkEnd w:id="32"/>
    <w:bookmarkStart w:id="38"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3"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3"/>
    <w:bookmarkStart w:id="34"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11"/>
        </w:numPr>
      </w:pPr>
      <w:r>
        <w:t xml:space="preserve">firms want to protect sales volume;</w:t>
      </w:r>
    </w:p>
    <w:p>
      <w:pPr>
        <w:pStyle w:val="Compact"/>
        <w:numPr>
          <w:ilvl w:val="0"/>
          <w:numId w:val="1011"/>
        </w:numPr>
      </w:pPr>
      <w:r>
        <w:t xml:space="preserve">contracts may lock prices in temporarily;</w:t>
      </w:r>
    </w:p>
    <w:p>
      <w:pPr>
        <w:pStyle w:val="Compact"/>
        <w:numPr>
          <w:ilvl w:val="0"/>
          <w:numId w:val="1011"/>
        </w:numPr>
      </w:pPr>
      <w:r>
        <w:t xml:space="preserve">imported inputs may offset part of the cost change;</w:t>
      </w:r>
    </w:p>
    <w:p>
      <w:pPr>
        <w:pStyle w:val="Compact"/>
        <w:numPr>
          <w:ilvl w:val="0"/>
          <w:numId w:val="1011"/>
        </w:numPr>
      </w:pPr>
      <w:r>
        <w:t xml:space="preserve">firms may strategically compress margins in important markets.</w:t>
      </w:r>
    </w:p>
    <w:bookmarkEnd w:id="34"/>
    <w:bookmarkStart w:id="35"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5"/>
    <w:bookmarkStart w:id="36"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6"/>
    <w:bookmarkStart w:id="37"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12"/>
        </w:numPr>
      </w:pPr>
      <w:r>
        <w:t xml:space="preserve">exchange rate stability,</w:t>
      </w:r>
    </w:p>
    <w:p>
      <w:pPr>
        <w:pStyle w:val="Compact"/>
        <w:numPr>
          <w:ilvl w:val="0"/>
          <w:numId w:val="1012"/>
        </w:numPr>
      </w:pPr>
      <w:r>
        <w:t xml:space="preserve">monetary independence,</w:t>
      </w:r>
    </w:p>
    <w:p>
      <w:pPr>
        <w:pStyle w:val="Compact"/>
        <w:numPr>
          <w:ilvl w:val="0"/>
          <w:numId w:val="1012"/>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7"/>
    <w:bookmarkEnd w:id="38"/>
    <w:bookmarkEnd w:id="39"/>
    <w:bookmarkStart w:id="64"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3"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3"/>
        </w:numPr>
      </w:pPr>
      <w:r>
        <w:t xml:space="preserve">i = nominal interest rate,</w:t>
      </w:r>
    </w:p>
    <w:p>
      <w:pPr>
        <w:pStyle w:val="Compact"/>
        <w:numPr>
          <w:ilvl w:val="0"/>
          <w:numId w:val="1013"/>
        </w:numPr>
      </w:pPr>
      <w:r>
        <w:t xml:space="preserve">r = real interest rate,</w:t>
      </w:r>
    </w:p>
    <w:p>
      <w:pPr>
        <w:pStyle w:val="Compact"/>
        <w:numPr>
          <w:ilvl w:val="0"/>
          <w:numId w:val="1013"/>
        </w:numPr>
      </w:pPr>
      <m:oMath>
        <m:r>
          <m:t>π</m:t>
        </m:r>
      </m:oMath>
      <w:r>
        <w:t xml:space="preserve"> </w:t>
      </w:r>
      <w:r>
        <w:t xml:space="preserve">= expected inflation.</w:t>
      </w:r>
    </w:p>
    <w:p>
      <w:pPr>
        <w:pStyle w:val="FirstParagraph"/>
      </w:pPr>
      <w:r>
        <w:t xml:space="preserve">The cross-product term r</w:t>
      </w:r>
      <m:oMath>
        <m:r>
          <m:t>π</m:t>
        </m:r>
      </m:oMath>
      <w:r>
        <w:t xml:space="preserve"> </w:t>
      </w:r>
      <w:r>
        <w:t xml:space="preserve">is often dropped because it is small for ordinary rates of return and inflation.</w:t>
      </w:r>
    </w:p>
    <w:bookmarkStart w:id="40" w:name="why-this-matters"/>
    <w:p>
      <w:pPr>
        <w:pStyle w:val="Heading4"/>
      </w:pPr>
      <w:r>
        <w:t xml:space="preserve">6.2.1.1 Why This Matters</w:t>
      </w:r>
    </w:p>
    <w:p>
      <w:pPr>
        <w:pStyle w:val="FirstParagraph"/>
      </w:pPr>
      <w:r>
        <w:t xml:space="preserve">Why do higher interest rates sometimes attract capital and sometimes not. The Fisher effect gives the answer:</w:t>
      </w:r>
    </w:p>
    <w:p>
      <w:pPr>
        <w:pStyle w:val="Compact"/>
        <w:numPr>
          <w:ilvl w:val="0"/>
          <w:numId w:val="1014"/>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4"/>
        </w:numPr>
      </w:pPr>
      <w:r>
        <w:t xml:space="preserve">if high nominal rates reflect</w:t>
      </w:r>
      <w:r>
        <w:t xml:space="preserve"> </w:t>
      </w:r>
      <w:r>
        <w:rPr>
          <w:b/>
          <w:bCs/>
        </w:rPr>
        <w:t xml:space="preserve">high real returns</w:t>
      </w:r>
      <w:r>
        <w:t xml:space="preserve">, then those rates can attract capital strongly.</w:t>
      </w:r>
    </w:p>
    <w:p>
      <w:pPr>
        <w:pStyle w:val="FirstParagraph"/>
      </w:pPr>
      <w:r>
        <w:t xml:space="preserve">In other words, it really depends on the estimated value of</w:t>
      </w:r>
      <w:r>
        <w:t xml:space="preserve"> </w:t>
      </w:r>
      <m:oMath>
        <m:r>
          <m:t>π</m:t>
        </m:r>
      </m:oMath>
      <w:r>
        <w:t xml:space="preserve">.</w:t>
      </w:r>
    </w:p>
    <w:bookmarkEnd w:id="40"/>
    <w:bookmarkStart w:id="41"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bookmarkEnd w:id="41"/>
    <w:bookmarkStart w:id="42"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2"/>
    <w:bookmarkEnd w:id="43"/>
    <w:bookmarkStart w:id="46"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4"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4"/>
    <w:bookmarkStart w:id="45"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5"/>
    <w:bookmarkEnd w:id="46"/>
    <w:bookmarkStart w:id="47"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agreed upon today for currency transaction that will occur on a future date.</w:t>
      </w:r>
      <w:r>
        <w:t xml:space="preserve"> </w:t>
      </w:r>
      <w:r>
        <w:rPr>
          <w:b/>
          <w:bCs/>
        </w:rPr>
        <w:t xml:space="preserve">Think of it like locking in a price today for something you will buy later.</w:t>
      </w:r>
      <w:r>
        <w:t xml:space="preserve"> </w:t>
      </w:r>
      <w:r>
        <w:t xml:space="preserve">It is not today’s spot rate; it is the contractual rate at which a currency can be bought or sold forward.</w:t>
      </w:r>
    </w:p>
    <w:p>
      <w:pPr>
        <w:pStyle w:val="BodyText"/>
      </w:pPr>
      <w:r>
        <w:t xml:space="preserve">Forward rates are central to multinational finance because they allow firms and investors to lock in future exchange rates and</w:t>
      </w:r>
      <w:r>
        <w:t xml:space="preserve"> </w:t>
      </w:r>
      <w:r>
        <w:rPr>
          <w:b/>
          <w:bCs/>
        </w:rPr>
        <w:t xml:space="preserve">help firms eliminate exchange rate risk.</w:t>
      </w:r>
    </w:p>
    <w:p>
      <w:pPr>
        <w:pStyle w:val="BodyText"/>
      </w:pPr>
      <w:r>
        <w:rPr>
          <w:b/>
          <w:bCs/>
        </w:rPr>
        <w:t xml:space="preserve">They are rates that make the financial markets balance given interest rates in each country.</w:t>
      </w:r>
    </w:p>
    <w:p>
      <w:pPr>
        <w:pStyle w:val="BodyText"/>
      </w:pPr>
      <w:r>
        <w:rPr>
          <w:b/>
          <w:bCs/>
        </w:rPr>
        <w:t xml:space="preserve">Forward Rate Calculation Example:</w:t>
      </w:r>
      <w:r>
        <w:t xml:space="preserve"> </w:t>
      </w:r>
      <w:r>
        <w:t xml:space="preserve">Using a Forward Contract to Hedge Exchange Rate Risk</w:t>
      </w:r>
    </w:p>
    <w:p>
      <w:pPr>
        <w:pStyle w:val="BodyText"/>
      </w:pPr>
      <w:r>
        <w:t xml:space="preserve">Consider a U.S. firm that must pay a German supplier in euros one year from today.</w:t>
      </w:r>
    </w:p>
    <w:p>
      <w:pPr>
        <w:pStyle w:val="BodyText"/>
      </w:pPr>
      <w:r>
        <w:rPr>
          <w:b/>
          <w:bCs/>
        </w:rPr>
        <w:t xml:space="preserve">Current Market Conditions:</w:t>
      </w:r>
    </w:p>
    <w:p>
      <w:pPr>
        <w:pStyle w:val="BodyText"/>
      </w:pPr>
      <w:r>
        <w:t xml:space="preserve">Spot exchange rate:</w:t>
      </w:r>
    </w:p>
    <w:p>
      <w:pPr>
        <w:pStyle w:val="BodyText"/>
      </w:pPr>
      <m:oMathPara>
        <m:oMathParaPr>
          <m:jc m:val="center"/>
        </m:oMathParaPr>
        <m:oMath>
          <m:sSub>
            <m:e>
              <m:r>
                <m:t>S</m:t>
              </m:r>
            </m:e>
            <m:sub>
              <m:r>
                <m:t>0</m:t>
              </m:r>
            </m:sub>
          </m:sSub>
          <m:r>
            <m:rPr>
              <m:sty m:val="p"/>
            </m:rPr>
            <m:t>=</m:t>
          </m:r>
          <m:r>
            <m:t>1.10</m:t>
          </m:r>
          <m:r>
            <m:t> </m:t>
          </m:r>
          <m:r>
            <m:rPr>
              <m:nor/>
              <m:sty m:val="p"/>
            </m:rPr>
            <m:t>USD/EUR</m:t>
          </m:r>
        </m:oMath>
      </m:oMathPara>
    </w:p>
    <w:p>
      <w:pPr>
        <w:pStyle w:val="FirstParagraph"/>
      </w:pPr>
      <w:r>
        <w:t xml:space="preserve">This means:</w:t>
      </w:r>
    </w:p>
    <w:p>
      <w:pPr>
        <w:pStyle w:val="BodyText"/>
      </w:pPr>
      <w:r>
        <w:t xml:space="preserve">1 EUR = $1.10 USD</w:t>
      </w:r>
    </w:p>
    <w:p>
      <w:pPr>
        <w:pStyle w:val="BodyText"/>
      </w:pPr>
      <w:r>
        <w:t xml:space="preserve">A bank quotes a</w:t>
      </w:r>
      <w:r>
        <w:t xml:space="preserve"> </w:t>
      </w:r>
      <w:r>
        <w:rPr>
          <w:b/>
          <w:bCs/>
        </w:rPr>
        <w:t xml:space="preserve">1-year forward exchange rate</w:t>
      </w:r>
      <w:r>
        <w:t xml:space="preserve"> </w:t>
      </w:r>
      <w:r>
        <w:t xml:space="preserve">of:</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pPr>
        <w:pStyle w:val="FirstParagraph"/>
      </w:pPr>
      <w:r>
        <w:t xml:space="preserve">This means that one year from today the firm can exchange dollars for euros at:</w:t>
      </w:r>
    </w:p>
    <w:p>
      <w:pPr>
        <w:pStyle w:val="BodyText"/>
      </w:pPr>
      <w:r>
        <w:t xml:space="preserve">1 EUR = $1.15 USD</w:t>
      </w:r>
    </w:p>
    <w:p>
      <w:r>
        <w:pict>
          <v:rect style="width:0;height:1.5pt" o:hralign="center" o:hrstd="t" o:hr="t"/>
        </w:pict>
      </w:r>
    </w:p>
    <w:p>
      <w:pPr>
        <w:pStyle w:val="FirstParagraph"/>
      </w:pPr>
      <w:r>
        <w:rPr>
          <w:b/>
          <w:bCs/>
        </w:rPr>
        <w:t xml:space="preserve">Payment Obligation</w:t>
      </w:r>
    </w:p>
    <w:p>
      <w:pPr>
        <w:pStyle w:val="BodyText"/>
      </w:pPr>
      <w:r>
        <w:t xml:space="preserve">The U.S. firm must pay:</w:t>
      </w:r>
    </w:p>
    <w:p>
      <w:pPr>
        <w:pStyle w:val="BodyText"/>
      </w:pPr>
      <w:r>
        <w:t xml:space="preserve">1,000,000 EUR</w:t>
      </w:r>
    </w:p>
    <w:p>
      <w:pPr>
        <w:pStyle w:val="BodyText"/>
      </w:pPr>
      <w:r>
        <w:t xml:space="preserve">to the German supplier in one year.</w:t>
      </w:r>
    </w:p>
    <w:p>
      <w:r>
        <w:pict>
          <v:rect style="width:0;height:1.5pt" o:hralign="center" o:hrstd="t" o:hr="t"/>
        </w:pict>
      </w:r>
    </w:p>
    <w:p>
      <w:pPr>
        <w:pStyle w:val="FirstParagraph"/>
      </w:pPr>
      <w:r>
        <w:rPr>
          <w:b/>
          <w:bCs/>
        </w:rPr>
        <w:t xml:space="preserve">Case 1: No Forward Contract (Exchange Rate Risk)</w:t>
      </w:r>
    </w:p>
    <w:p>
      <w:pPr>
        <w:pStyle w:val="BodyText"/>
      </w:pPr>
      <w:r>
        <w:t xml:space="preserve">If the firm does</w:t>
      </w:r>
      <w:r>
        <w:t xml:space="preserve"> </w:t>
      </w:r>
      <w:r>
        <w:rPr>
          <w:b/>
          <w:bCs/>
        </w:rPr>
        <w:t xml:space="preserve">not hedge</w:t>
      </w:r>
      <w:r>
        <w:t xml:space="preserve">, it must purchase euros at the future spot rate,</w:t>
      </w:r>
      <w:r>
        <w:t xml:space="preserve"> </w:t>
      </w:r>
      <w:r>
        <w:rPr>
          <w:b/>
          <w:bCs/>
        </w:rPr>
        <w:t xml:space="preserve">which is unknown today.</w:t>
      </w:r>
    </w:p>
    <w:p>
      <w:pPr>
        <w:pStyle w:val="BodyText"/>
      </w:pPr>
      <w:r>
        <w:t xml:space="preserve">Suppose the euro appreciates and the future spot rate becomes:</w:t>
      </w:r>
    </w:p>
    <w:p>
      <w:pPr>
        <w:pStyle w:val="BodyText"/>
      </w:pPr>
      <m:oMathPara>
        <m:oMathParaPr>
          <m:jc m:val="center"/>
        </m:oMathParaPr>
        <m:oMath>
          <m:sSub>
            <m:e>
              <m:r>
                <m:t>S</m:t>
              </m:r>
            </m:e>
            <m:sub>
              <m:r>
                <m:t>1</m:t>
              </m:r>
            </m:sub>
          </m:sSub>
          <m:r>
            <m:rPr>
              <m:sty m:val="p"/>
            </m:rPr>
            <m:t>=</m:t>
          </m:r>
          <m:r>
            <m:t>1.30</m:t>
          </m:r>
          <m:r>
            <m:t> </m:t>
          </m:r>
          <m:r>
            <m:rPr>
              <m:nor/>
              <m:sty m:val="p"/>
            </m:rPr>
            <m:t>USD/EUR</m:t>
          </m:r>
        </m:oMath>
      </m:oMathPara>
    </w:p>
    <w:p>
      <w:pPr>
        <w:pStyle w:val="FirstParagraph"/>
      </w:pPr>
      <w:r>
        <w:t xml:space="preserve">The dollar cost of the payment would be:</w:t>
      </w:r>
    </w:p>
    <w:p>
      <w:pPr>
        <w:pStyle w:val="BodyText"/>
      </w:pPr>
      <m:oMathPara>
        <m:oMathParaPr>
          <m:jc m:val="center"/>
        </m:oMathParaPr>
        <m:oMath>
          <m:r>
            <m:t>1</m:t>
          </m:r>
          <m:r>
            <m:rPr>
              <m:sty m:val="p"/>
            </m:rPr>
            <m:t>,</m:t>
          </m:r>
          <m:r>
            <m:t>000</m:t>
          </m:r>
          <m:r>
            <m:rPr>
              <m:sty m:val="p"/>
            </m:rPr>
            <m:t>,</m:t>
          </m:r>
          <m:r>
            <m:t>000</m:t>
          </m:r>
          <m:r>
            <m:rPr>
              <m:sty m:val="p"/>
            </m:rPr>
            <m:t>×</m:t>
          </m:r>
          <m:r>
            <m:t>1.30</m:t>
          </m:r>
          <m:r>
            <m:rPr>
              <m:sty m:val="p"/>
            </m:rPr>
            <m:t>=</m:t>
          </m:r>
          <m:r>
            <m:rPr>
              <m:sty m:val="p"/>
            </m:rPr>
            <m:t>$</m:t>
          </m:r>
          <m:r>
            <m:t>1</m:t>
          </m:r>
          <m:r>
            <m:rPr>
              <m:sty m:val="p"/>
            </m:rPr>
            <m:t>,</m:t>
          </m:r>
          <m:r>
            <m:t>300</m:t>
          </m:r>
          <m:r>
            <m:rPr>
              <m:sty m:val="p"/>
            </m:rPr>
            <m:t>,</m:t>
          </m:r>
          <m:r>
            <m:t>000</m:t>
          </m:r>
        </m:oMath>
      </m:oMathPara>
    </w:p>
    <w:p>
      <w:pPr>
        <w:pStyle w:val="FirstParagraph"/>
      </w:pPr>
      <w:r>
        <w:rPr>
          <w:b/>
          <w:bCs/>
        </w:rPr>
        <w:t xml:space="preserve">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-$1,300,000</w:t>
            </w:r>
          </w:p>
        </w:tc>
      </w:tr>
      <w:tr>
        <w:tc>
          <w:tcPr/>
          <w:p>
            <w:pPr>
              <w:pStyle w:val="Compact"/>
            </w:pPr>
            <w:r>
              <w:t xml:space="preserve">EUR</w:t>
            </w:r>
          </w:p>
        </w:tc>
        <w:tc>
          <w:tcPr/>
          <w:p>
            <w:pPr>
              <w:pStyle w:val="Compact"/>
            </w:pPr>
            <w:r>
              <w:t xml:space="preserve">+€1,000,000</w:t>
            </w:r>
          </w:p>
        </w:tc>
      </w:tr>
    </w:tbl>
    <w:p>
      <w:pPr>
        <w:pStyle w:val="BodyText"/>
      </w:pPr>
      <w:r>
        <w:t xml:space="preserve">The euros are then paid to the supplier.</w:t>
      </w:r>
    </w:p>
    <w:p>
      <w:pPr>
        <w:pStyle w:val="BodyText"/>
      </w:pPr>
      <w:r>
        <w:t xml:space="preserve">This outcome exposes the firm to</w:t>
      </w:r>
      <w:r>
        <w:t xml:space="preserve"> </w:t>
      </w:r>
      <w:r>
        <w:rPr>
          <w:b/>
          <w:bCs/>
        </w:rPr>
        <w:t xml:space="preserve">exchange rate risk</w:t>
      </w:r>
      <w:r>
        <w:t xml:space="preserve">.</w:t>
      </w:r>
    </w:p>
    <w:p>
      <w:r>
        <w:pict>
          <v:rect style="width:0;height:1.5pt" o:hralign="center" o:hrstd="t" o:hr="t"/>
        </w:pict>
      </w:r>
    </w:p>
    <w:p>
      <w:pPr>
        <w:pStyle w:val="FirstParagraph"/>
      </w:pPr>
      <w:r>
        <w:rPr>
          <w:b/>
          <w:bCs/>
        </w:rPr>
        <w:t xml:space="preserve">Case 2: Using a Forward Contract (Hedging)</w:t>
      </w:r>
    </w:p>
    <w:p>
      <w:pPr>
        <w:pStyle w:val="BodyText"/>
      </w:pPr>
      <w:r>
        <w:t xml:space="preserve">Instead of waiting, the firm signs a</w:t>
      </w:r>
      <w:r>
        <w:t xml:space="preserve"> </w:t>
      </w:r>
      <w:r>
        <w:rPr>
          <w:b/>
          <w:bCs/>
        </w:rPr>
        <w:t xml:space="preserve">forward contract today</w:t>
      </w:r>
      <w:r>
        <w:t xml:space="preserve"> </w:t>
      </w:r>
      <w:r>
        <w:t xml:space="preserve">at the forward rate.</w:t>
      </w:r>
    </w:p>
    <w:p>
      <w:pPr>
        <w:pStyle w:val="BodyText"/>
      </w:pPr>
      <w:r>
        <w:t xml:space="preserve">Spot rate today is still:</w:t>
      </w:r>
    </w:p>
    <w:p>
      <w:pPr>
        <w:pStyle w:val="BodyText"/>
      </w:pPr>
      <w:r>
        <w:t xml:space="preserve">1 EUR = $1.10 USD</w:t>
      </w:r>
    </w:p>
    <w:p>
      <w:pPr>
        <w:pStyle w:val="BodyText"/>
      </w:pPr>
      <w:r>
        <w:t xml:space="preserve">And the forward exchange rate:</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r>
        <w:pict>
          <v:rect style="width:0;height:1.5pt" o:hralign="center" o:hrstd="t" o:hr="t"/>
        </w:pict>
      </w:r>
    </w:p>
    <w:p>
      <w:pPr>
        <w:pStyle w:val="FirstParagraph"/>
      </w:pPr>
      <w:r>
        <w:rPr>
          <w:b/>
          <w:bCs/>
        </w:rPr>
        <w:t xml:space="preserve">Cash Flows at Contract Maturity</w:t>
      </w:r>
    </w:p>
    <w:p>
      <w:pPr>
        <w:pStyle w:val="BodyText"/>
      </w:pPr>
      <w:r>
        <w:t xml:space="preserve">The firm pays dollars to the bank:</w:t>
      </w:r>
    </w:p>
    <w:p>
      <w:pPr>
        <w:pStyle w:val="BodyText"/>
      </w:pPr>
      <m:oMathPara>
        <m:oMathParaPr>
          <m:jc m:val="center"/>
        </m:oMathParaPr>
        <m:oMath>
          <m:r>
            <m:rPr>
              <m:sty m:val="p"/>
            </m:rPr>
            <m:t>−</m:t>
          </m:r>
          <m:r>
            <m:rPr>
              <m:sty m:val="p"/>
            </m:rPr>
            <m:t>$</m:t>
          </m:r>
          <m:r>
            <m:t>1</m:t>
          </m:r>
          <m:r>
            <m:rPr>
              <m:sty m:val="p"/>
            </m:rPr>
            <m:t>,</m:t>
          </m:r>
          <m:r>
            <m:t>150</m:t>
          </m:r>
          <m:r>
            <m:rPr>
              <m:sty m:val="p"/>
            </m:rPr>
            <m:t>,</m:t>
          </m:r>
          <m:r>
            <m:t>000</m:t>
          </m:r>
        </m:oMath>
      </m:oMathPara>
    </w:p>
    <w:p>
      <w:pPr>
        <w:pStyle w:val="FirstParagraph"/>
      </w:pPr>
      <w:r>
        <w:t xml:space="preserve">The bank delivers 1,000,000 EUR and the firm then pays the supplier the funds.</w:t>
      </w:r>
    </w:p>
    <w:p>
      <w:pPr>
        <w:pStyle w:val="BodyText"/>
      </w:pPr>
      <w:r>
        <w:rPr>
          <w:b/>
          <w:bCs/>
        </w:rPr>
        <w:t xml:space="preserve">Net 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+€1,000,000</w:t>
            </w:r>
          </w:p>
        </w:tc>
      </w:tr>
      <w:tr>
        <w:tc>
          <w:tcPr/>
          <w:p>
            <w:pPr>
              <w:pStyle w:val="Compact"/>
            </w:pPr>
            <w:r>
              <w:t xml:space="preserve">Supplier payment</w:t>
            </w:r>
          </w:p>
        </w:tc>
        <w:tc>
          <w:tcPr/>
          <w:p>
            <w:pPr>
              <w:pStyle w:val="Compact"/>
            </w:pPr>
            <w:r>
              <w:t xml:space="preserve">-€1,000,000</w:t>
            </w:r>
          </w:p>
        </w:tc>
      </w:tr>
    </w:tbl>
    <w:p>
      <w:pPr>
        <w:pStyle w:val="BodyText"/>
      </w:pPr>
      <w:r>
        <w:t xml:space="preserve">Final net position of US Firm: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Net 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0</w:t>
            </w:r>
          </w:p>
        </w:tc>
      </w:tr>
    </w:tbl>
    <w:p>
      <w:r>
        <w:pict>
          <v:rect style="width:0;height:1.5pt" o:hralign="center" o:hrstd="t" o:hr="t"/>
        </w:pict>
      </w:r>
    </w:p>
    <w:p>
      <w:pPr>
        <w:pStyle w:val="FirstParagraph"/>
      </w:pPr>
      <w:r>
        <w:rPr>
          <w:b/>
          <w:bCs/>
        </w:rPr>
        <w:t xml:space="preserve">Interpretation:</w:t>
      </w:r>
    </w:p>
    <w:p>
      <w:pPr>
        <w:pStyle w:val="BodyText"/>
      </w:pPr>
      <w:r>
        <w:t xml:space="preserve">By using the forward contract, the firm converts an</w:t>
      </w:r>
      <w:r>
        <w:t xml:space="preserve"> </w:t>
      </w:r>
      <w:r>
        <w:rPr>
          <w:b/>
          <w:bCs/>
        </w:rPr>
        <w:t xml:space="preserve">uncertain future exchange rate</w:t>
      </w:r>
      <w:r>
        <w:t xml:space="preserve"> </w:t>
      </w:r>
      <w:r>
        <w:t xml:space="preserve">into a</w:t>
      </w:r>
      <w:r>
        <w:t xml:space="preserve"> </w:t>
      </w:r>
      <w:r>
        <w:rPr>
          <w:b/>
          <w:bCs/>
        </w:rPr>
        <w:t xml:space="preserve">certain dollar payment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Dollar Cost</w:t>
            </w:r>
          </w:p>
        </w:tc>
      </w:tr>
      <w:tr>
        <w:tc>
          <w:tcPr/>
          <w:p>
            <w:pPr>
              <w:pStyle w:val="Compact"/>
            </w:pPr>
            <w:r>
              <w:t xml:space="preserve">No hedge</w:t>
            </w:r>
          </w:p>
        </w:tc>
        <w:tc>
          <w:tcPr/>
          <w:p>
            <w:pPr>
              <w:pStyle w:val="Compact"/>
            </w:pPr>
            <w:r>
              <w:t xml:space="preserve">$1,300,000</w:t>
            </w:r>
          </w:p>
        </w:tc>
      </w:tr>
      <w:tr>
        <w:tc>
          <w:tcPr/>
          <w:p>
            <w:pPr>
              <w:pStyle w:val="Compact"/>
            </w:pPr>
            <w:r>
              <w:t xml:space="preserve">Forward hedge</w:t>
            </w:r>
          </w:p>
        </w:tc>
        <w:tc>
          <w:tcPr/>
          <w:p>
            <w:pPr>
              <w:pStyle w:val="Compact"/>
            </w:pPr>
            <w:r>
              <w:t xml:space="preserve">$1,150,000</w:t>
            </w:r>
          </w:p>
        </w:tc>
      </w:tr>
    </w:tbl>
    <w:p>
      <w:pPr>
        <w:pStyle w:val="BodyText"/>
      </w:pPr>
      <w:r>
        <w:t xml:space="preserve">The forward contract eliminates exchange rate risk. In this case, using Forward Contracts saved the US firm $150,000 USD.</w:t>
      </w:r>
    </w:p>
    <w:p>
      <w:r>
        <w:pict>
          <v:rect style="width:0;height:1.5pt" o:hralign="center" o:hrstd="t" o:hr="t"/>
        </w:pict>
      </w:r>
    </w:p>
    <w:p>
      <w:pPr>
        <w:pStyle w:val="FirstParagraph"/>
      </w:pPr>
      <w:r>
        <w:rPr>
          <w:b/>
          <w:bCs/>
        </w:rPr>
        <w:t xml:space="preserve">Key Insight:</w:t>
      </w:r>
    </w:p>
    <w:p>
      <w:pPr>
        <w:pStyle w:val="BodyText"/>
      </w:pPr>
      <w:r>
        <w:t xml:space="preserve">A</w:t>
      </w:r>
      <w:r>
        <w:t xml:space="preserve"> </w:t>
      </w:r>
      <w:r>
        <w:rPr>
          <w:b/>
          <w:bCs/>
        </w:rPr>
        <w:t xml:space="preserve">forward contract</w:t>
      </w:r>
      <w:r>
        <w:t xml:space="preserve"> </w:t>
      </w:r>
      <w:r>
        <w:t xml:space="preserve">allows firms to lock in a future exchange rate today.</w:t>
      </w:r>
    </w:p>
    <w:p>
      <w:pPr>
        <w:pStyle w:val="BodyText"/>
      </w:pPr>
      <w:r>
        <w:t xml:space="preserve">This converts uncertain future currency costs into predictable cash flows, allowing firms to hedge exchange rate risk.</w:t>
      </w:r>
    </w:p>
    <w:p>
      <w:pPr>
        <w:pStyle w:val="BodyText"/>
      </w:pPr>
      <w:r>
        <w:t xml:space="preserve">The forward rate for a given maturity is determined by the current spot rate and the two relevant money-market interest rates for that maturity.</w:t>
      </w:r>
    </w:p>
    <w:p>
      <w:pPr>
        <w:pStyle w:val="BodyText"/>
      </w:pPr>
      <w:r>
        <w:t xml:space="preserve">For the textbook’s Swiss franc example:</w:t>
      </w:r>
    </w:p>
    <w:p>
      <w:pPr>
        <w:pStyle w:val="Compact"/>
        <w:numPr>
          <w:ilvl w:val="0"/>
          <w:numId w:val="1015"/>
        </w:numPr>
      </w:pPr>
      <w:r>
        <w:t xml:space="preserve">spot rate = SF 1.4800 per USD 1.00,</w:t>
      </w:r>
    </w:p>
    <w:p>
      <w:pPr>
        <w:pStyle w:val="Compact"/>
        <w:numPr>
          <w:ilvl w:val="0"/>
          <w:numId w:val="1015"/>
        </w:numPr>
      </w:pPr>
      <w:r>
        <w:t xml:space="preserve">90-day Swiss franc rate = 4.00% per annum,</w:t>
      </w:r>
    </w:p>
    <w:p>
      <w:pPr>
        <w:pStyle w:val="Compact"/>
        <w:numPr>
          <w:ilvl w:val="0"/>
          <w:numId w:val="1015"/>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p>
      <w:pPr>
        <w:pStyle w:val="BodyText"/>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7"/>
    <w:bookmarkStart w:id="49"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p>
      <w:pPr>
        <w:pStyle w:val="BodyText"/>
      </w:pPr>
      <w:r>
        <w:rPr>
          <w:b/>
          <w:bCs/>
        </w:rPr>
        <w:t xml:space="preserve">Why the Premium Exists:</w:t>
      </w:r>
    </w:p>
    <w:p>
      <w:pPr>
        <w:pStyle w:val="BodyText"/>
      </w:pPr>
      <w:r>
        <w:t xml:space="preserve">The forward premium arises because the Swiss franc interest rate is below the dollar interest rate. A lower-yield currency tends to sell forward at a premium; a higher-yield currency tends to sell forward at a discount.</w:t>
      </w:r>
    </w:p>
    <w:bookmarkStart w:id="48" w:name="foreign-currency-terms"/>
    <w:p>
      <w:pPr>
        <w:pStyle w:val="Heading4"/>
      </w:pPr>
      <w:r>
        <w:t xml:space="preserve">6.2.4.1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48"/>
    <w:bookmarkEnd w:id="49"/>
    <w:bookmarkStart w:id="51"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6"/>
        </w:numPr>
      </w:pPr>
      <w:r>
        <w:t xml:space="preserve">the return on a domestic money market investment, and</w:t>
      </w:r>
    </w:p>
    <w:p>
      <w:pPr>
        <w:pStyle w:val="Compact"/>
        <w:numPr>
          <w:ilvl w:val="0"/>
          <w:numId w:val="1016"/>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0"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0"/>
    <w:bookmarkEnd w:id="51"/>
    <w:bookmarkStart w:id="55"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7"/>
        </w:numPr>
      </w:pPr>
      <w:r>
        <w:t xml:space="preserve">convert into another currency at the spot rate,</w:t>
      </w:r>
    </w:p>
    <w:p>
      <w:pPr>
        <w:pStyle w:val="Compact"/>
        <w:numPr>
          <w:ilvl w:val="0"/>
          <w:numId w:val="1017"/>
        </w:numPr>
      </w:pPr>
      <w:r>
        <w:t xml:space="preserve">invest in that currency,</w:t>
      </w:r>
    </w:p>
    <w:p>
      <w:pPr>
        <w:pStyle w:val="Compact"/>
        <w:numPr>
          <w:ilvl w:val="0"/>
          <w:numId w:val="1017"/>
        </w:numPr>
      </w:pPr>
      <w:r>
        <w:t xml:space="preserve">simultaneously sell the future proceeds forward,</w:t>
      </w:r>
    </w:p>
    <w:p>
      <w:pPr>
        <w:pStyle w:val="Compact"/>
        <w:numPr>
          <w:ilvl w:val="0"/>
          <w:numId w:val="1017"/>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4"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8"/>
        </w:numPr>
      </w:pPr>
      <w:r>
        <w:t xml:space="preserve">spot rate = 106 yen per dollar,</w:t>
      </w:r>
    </w:p>
    <w:p>
      <w:pPr>
        <w:pStyle w:val="Compact"/>
        <w:numPr>
          <w:ilvl w:val="0"/>
          <w:numId w:val="1018"/>
        </w:numPr>
      </w:pPr>
      <w:r>
        <w:t xml:space="preserve">180-day forward rate = 103.50 yen per dollar,</w:t>
      </w:r>
    </w:p>
    <w:p>
      <w:pPr>
        <w:pStyle w:val="Compact"/>
        <w:numPr>
          <w:ilvl w:val="0"/>
          <w:numId w:val="1018"/>
        </w:numPr>
      </w:pPr>
      <w:r>
        <w:t xml:space="preserve">eurodollar rate = 8.00% per annum, or 4.00% for 180 days,</w:t>
      </w:r>
    </w:p>
    <w:p>
      <w:pPr>
        <w:pStyle w:val="Compact"/>
        <w:numPr>
          <w:ilvl w:val="0"/>
          <w:numId w:val="1018"/>
        </w:numPr>
      </w:pPr>
      <w:r>
        <w:t xml:space="preserve">euroyen rate = 4.00% per annum, or 2.00% for 180 days.</w:t>
      </w:r>
    </w:p>
    <w:p>
      <w:pPr>
        <w:pStyle w:val="FirstParagraph"/>
      </w:pPr>
      <w:r>
        <w:t xml:space="preserve">A trader begins with USD 1,000,000.</w:t>
      </w:r>
    </w:p>
    <w:bookmarkStart w:id="52"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2"/>
    <w:bookmarkStart w:id="53"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p>
      <w:pPr>
        <w:pStyle w:val="FirstParagraph"/>
      </w:pPr>
      <w:r>
        <w:rPr>
          <w:b/>
          <w:bCs/>
        </w:rPr>
        <w:t xml:space="preserve">Rule of Thumb</w:t>
      </w:r>
    </w:p>
    <w:p>
      <w:pPr>
        <w:pStyle w:val="BodyText"/>
      </w:pPr>
      <w:r>
        <w:t xml:space="preserve">To decide which direction the arbitrage should go, compare:</w:t>
      </w:r>
    </w:p>
    <w:p>
      <w:pPr>
        <w:pStyle w:val="Compact"/>
        <w:numPr>
          <w:ilvl w:val="0"/>
          <w:numId w:val="1019"/>
        </w:numPr>
      </w:pPr>
      <w:r>
        <w:t xml:space="preserve">the</w:t>
      </w:r>
      <w:r>
        <w:t xml:space="preserve"> </w:t>
      </w:r>
      <w:r>
        <w:rPr>
          <w:b/>
          <w:bCs/>
        </w:rPr>
        <w:t xml:space="preserve">interest differential</w:t>
      </w:r>
      <w:r>
        <w:t xml:space="preserve">, and</w:t>
      </w:r>
    </w:p>
    <w:p>
      <w:pPr>
        <w:pStyle w:val="Compact"/>
        <w:numPr>
          <w:ilvl w:val="0"/>
          <w:numId w:val="1019"/>
        </w:numPr>
      </w:pPr>
      <w:r>
        <w:t xml:space="preserve">the</w:t>
      </w:r>
      <w:r>
        <w:t xml:space="preserve"> </w:t>
      </w:r>
      <w:r>
        <w:rPr>
          <w:b/>
          <w:bCs/>
        </w:rPr>
        <w:t xml:space="preserve">forward premium or cost of cover</w:t>
      </w:r>
      <w:r>
        <w:t xml:space="preserve">.</w:t>
      </w:r>
    </w:p>
    <w:p>
      <w:pPr>
        <w:pStyle w:val="FirstParagraph"/>
      </w:pPr>
      <w:r>
        <w:rPr>
          <w:b/>
          <w:bCs/>
        </w:rPr>
        <w:t xml:space="preserve">Arbitrage Rule of Thumb</w:t>
      </w:r>
    </w:p>
    <w:p>
      <w:pPr>
        <w:pStyle w:val="Compact"/>
        <w:numPr>
          <w:ilvl w:val="0"/>
          <w:numId w:val="1020"/>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20"/>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because it provides a quick conceptual shortcut before working the full calculation.</w:t>
      </w:r>
    </w:p>
    <w:p>
      <w:pPr>
        <w:pStyle w:val="BodyText"/>
      </w:pPr>
      <w:r>
        <w:rPr>
          <w:b/>
          <w:bCs/>
        </w:rPr>
        <w:t xml:space="preserve">Numerical Example: CIA Rule of Thumb</w:t>
      </w:r>
    </w:p>
    <w:p>
      <w:pPr>
        <w:pStyle w:val="BodyText"/>
      </w:pPr>
      <w:r>
        <w:t xml:space="preserve">Suppose the following market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U.S. interest rate</w:t>
            </w:r>
          </w:p>
        </w:tc>
        <w:tc>
          <w:tcPr/>
          <w:p>
            <w:pPr>
              <w:pStyle w:val="Compact"/>
            </w:pPr>
            <w:r>
              <w:t xml:space="preserve">6%</w:t>
            </w:r>
          </w:p>
        </w:tc>
      </w:tr>
      <w:tr>
        <w:tc>
          <w:tcPr/>
          <w:p>
            <w:pPr>
              <w:pStyle w:val="Compact"/>
            </w:pPr>
            <w:r>
              <w:t xml:space="preserve">Euro interest rate</w:t>
            </w:r>
          </w:p>
        </w:tc>
        <w:tc>
          <w:tcPr/>
          <w:p>
            <w:pPr>
              <w:pStyle w:val="Compact"/>
            </w:pPr>
            <w:r>
              <w:t xml:space="preserve">3%</w:t>
            </w:r>
          </w:p>
        </w:tc>
      </w:tr>
      <w:tr>
        <w:tc>
          <w:tcPr/>
          <w:p>
            <w:pPr>
              <w:pStyle w:val="Compact"/>
            </w:pPr>
            <w:r>
              <w:t xml:space="preserve">Spot exchange rate</w:t>
            </w:r>
          </w:p>
        </w:tc>
        <w:tc>
          <w:tcPr/>
          <w:p>
            <w:pPr>
              <w:pStyle w:val="Compact"/>
            </w:pPr>
            <w:r>
              <w:t xml:space="preserve">1.10 USD/EUR</w:t>
            </w:r>
          </w:p>
        </w:tc>
      </w:tr>
      <w:tr>
        <w:tc>
          <w:tcPr/>
          <w:p>
            <w:pPr>
              <w:pStyle w:val="Compact"/>
            </w:pPr>
            <w:r>
              <w:t xml:space="preserve">1-year forward rate</w:t>
            </w:r>
          </w:p>
        </w:tc>
        <w:tc>
          <w:tcPr/>
          <w:p>
            <w:pPr>
              <w:pStyle w:val="Compact"/>
            </w:pPr>
            <w:r>
              <w:t xml:space="preserve">1.12 USD/EUR</w:t>
            </w:r>
          </w:p>
        </w:tc>
      </w:tr>
    </w:tbl>
    <w:p>
      <w:r>
        <w:pict>
          <v:rect style="width:0;height:1.5pt" o:hralign="center" o:hrstd="t" o:hr="t"/>
        </w:pict>
      </w:r>
    </w:p>
    <w:p>
      <w:pPr>
        <w:pStyle w:val="FirstParagraph"/>
      </w:pPr>
      <w:r>
        <w:rPr>
          <w:b/>
          <w:bCs/>
        </w:rPr>
        <w:t xml:space="preserve">Step 1: Calculate the Interest Rate Differential</w:t>
      </w:r>
    </w:p>
    <w:p>
      <w:pPr>
        <w:pStyle w:val="BodyText"/>
      </w:pPr>
      <m:oMathPara>
        <m:oMathParaPr>
          <m:jc m:val="center"/>
        </m:oMathParaPr>
        <m:oMath>
          <m:sSub>
            <m:e>
              <m:r>
                <m:t>i</m:t>
              </m:r>
            </m:e>
            <m:sub>
              <m:r>
                <m:t>U</m:t>
              </m:r>
              <m:r>
                <m:t>S</m:t>
              </m:r>
            </m:sub>
          </m:sSub>
          <m:r>
            <m:rPr>
              <m:sty m:val="p"/>
            </m:rPr>
            <m:t>−</m:t>
          </m:r>
          <m:sSub>
            <m:e>
              <m:r>
                <m:t>i</m:t>
              </m:r>
            </m:e>
            <m:sub>
              <m:r>
                <m:t>E</m:t>
              </m:r>
              <m:r>
                <m:t>U</m:t>
              </m:r>
            </m:sub>
          </m:sSub>
        </m:oMath>
      </m:oMathPara>
    </w:p>
    <w:p>
      <w:pPr>
        <w:pStyle w:val="FirstParagraph"/>
      </w:pPr>
      <m:oMathPara>
        <m:oMathParaPr>
          <m:jc m:val="center"/>
        </m:oMathParaPr>
        <m:oMath>
          <m:r>
            <m:rPr>
              <m:sty m:val="p"/>
            </m:rPr>
            <m:t>=</m:t>
          </m:r>
          <m:r>
            <m:t>6</m:t>
          </m:r>
          <m:r>
            <m:rPr>
              <m:sty m:val="p"/>
            </m:rPr>
            <m:t>%</m:t>
          </m:r>
          <m:r>
            <m:rPr>
              <m:sty m:val="p"/>
            </m:rPr>
            <m:t>−</m:t>
          </m:r>
          <m:r>
            <m:t>3</m:t>
          </m:r>
          <m:r>
            <m:rPr>
              <m:sty m:val="p"/>
            </m:rPr>
            <m:t>%</m:t>
          </m:r>
        </m:oMath>
      </m:oMathPara>
    </w:p>
    <w:p>
      <w:pPr>
        <w:pStyle w:val="FirstParagraph"/>
      </w:pPr>
      <m:oMathPara>
        <m:oMathParaPr>
          <m:jc m:val="center"/>
        </m:oMathParaPr>
        <m:oMath>
          <m:r>
            <m:rPr>
              <m:sty m:val="p"/>
            </m:rPr>
            <m:t>=</m:t>
          </m:r>
          <m:r>
            <m:t>3</m:t>
          </m:r>
          <m:r>
            <m:rPr>
              <m:sty m:val="p"/>
            </m:rPr>
            <m:t>%</m:t>
          </m:r>
        </m:oMath>
      </m:oMathPara>
    </w:p>
    <w:p>
      <w:pPr>
        <w:pStyle w:val="FirstParagraph"/>
      </w:pPr>
      <w:r>
        <w:t xml:space="preserve">The</w:t>
      </w:r>
      <w:r>
        <w:t xml:space="preserve"> </w:t>
      </w:r>
      <w:r>
        <w:rPr>
          <w:b/>
          <w:bCs/>
        </w:rPr>
        <w:t xml:space="preserve">interest rate differential is 3%</w:t>
      </w:r>
      <w:r>
        <w:t xml:space="preserve">.</w:t>
      </w:r>
    </w:p>
    <w:p>
      <w:r>
        <w:pict>
          <v:rect style="width:0;height:1.5pt" o:hralign="center" o:hrstd="t" o:hr="t"/>
        </w:pict>
      </w:r>
    </w:p>
    <w:p>
      <w:pPr>
        <w:pStyle w:val="FirstParagraph"/>
      </w:pPr>
      <w:r>
        <w:rPr>
          <w:b/>
          <w:bCs/>
        </w:rPr>
        <w:t xml:space="preserve">Step 2: Calculate the Forward Premium</w:t>
      </w:r>
    </w:p>
    <w:p>
      <w:pPr>
        <w:pStyle w:val="BodyText"/>
      </w:pPr>
      <w:r>
        <w:t xml:space="preserve">The forward premium is calculated as:</w:t>
      </w:r>
    </w:p>
    <w:p>
      <w:pPr>
        <w:pStyle w:val="BodyText"/>
      </w:pPr>
      <m:oMathPara>
        <m:oMathParaPr>
          <m:jc m:val="center"/>
        </m:oMathParaPr>
        <m:oMath>
          <m:f>
            <m:fPr>
              <m:type m:val="bar"/>
            </m:fPr>
            <m:num>
              <m:r>
                <m:t>F</m:t>
              </m:r>
              <m:r>
                <m:rPr>
                  <m:sty m:val="p"/>
                </m:rPr>
                <m:t>−</m:t>
              </m:r>
              <m:r>
                <m:t>S</m:t>
              </m:r>
            </m:num>
            <m:den>
              <m:r>
                <m:t>S</m:t>
              </m:r>
            </m:den>
          </m:f>
        </m:oMath>
      </m:oMathPara>
    </w:p>
    <w:p>
      <w:pPr>
        <w:pStyle w:val="FirstParagraph"/>
      </w:pPr>
      <w:r>
        <w:t xml:space="preserve">Substituting the values:</w:t>
      </w:r>
    </w:p>
    <w:p>
      <w:pPr>
        <w:pStyle w:val="BodyText"/>
      </w:pPr>
      <m:oMathPara>
        <m:oMathParaPr>
          <m:jc m:val="center"/>
        </m:oMathParaPr>
        <m:oMath>
          <m:f>
            <m:fPr>
              <m:type m:val="bar"/>
            </m:fPr>
            <m:num>
              <m:r>
                <m:t>1.12</m:t>
              </m:r>
              <m:r>
                <m:rPr>
                  <m:sty m:val="p"/>
                </m:rPr>
                <m:t>−</m:t>
              </m:r>
              <m:r>
                <m:t>1.10</m:t>
              </m:r>
            </m:num>
            <m:den>
              <m:r>
                <m:t>1.10</m:t>
              </m:r>
            </m:den>
          </m:f>
        </m:oMath>
      </m:oMathPara>
    </w:p>
    <w:p>
      <w:pPr>
        <w:pStyle w:val="FirstParagraph"/>
      </w:pPr>
      <m:oMathPara>
        <m:oMathParaPr>
          <m:jc m:val="center"/>
        </m:oMathParaPr>
        <m:oMath>
          <m:r>
            <m:rPr>
              <m:sty m:val="p"/>
            </m:rPr>
            <m:t>=</m:t>
          </m:r>
          <m:r>
            <m:t>0.0182</m:t>
          </m:r>
        </m:oMath>
      </m:oMathPara>
    </w:p>
    <w:p>
      <w:pPr>
        <w:pStyle w:val="FirstParagraph"/>
      </w:pPr>
      <m:oMathPara>
        <m:oMathParaPr>
          <m:jc m:val="center"/>
        </m:oMathParaPr>
        <m:oMath>
          <m:r>
            <m:rPr>
              <m:sty m:val="p"/>
            </m:rPr>
            <m:t>=</m:t>
          </m:r>
          <m:r>
            <m:t>1.82</m:t>
          </m:r>
          <m:r>
            <m:rPr>
              <m:sty m:val="p"/>
            </m:rPr>
            <m:t>%</m:t>
          </m:r>
        </m:oMath>
      </m:oMathPara>
    </w:p>
    <w:p>
      <w:pPr>
        <w:pStyle w:val="FirstParagraph"/>
      </w:pPr>
      <w:r>
        <w:t xml:space="preserve">So the</w:t>
      </w:r>
      <w:r>
        <w:t xml:space="preserve"> </w:t>
      </w:r>
      <w:r>
        <w:rPr>
          <w:b/>
          <w:bCs/>
        </w:rPr>
        <w:t xml:space="preserve">forward premium on the euro is approximately 1.82%</w:t>
      </w:r>
      <w:r>
        <w:t xml:space="preserve">.</w:t>
      </w:r>
    </w:p>
    <w:p>
      <w:r>
        <w:pict>
          <v:rect style="width:0;height:1.5pt" o:hralign="center" o:hrstd="t" o:hr="t"/>
        </w:pict>
      </w:r>
    </w:p>
    <w:p>
      <w:pPr>
        <w:pStyle w:val="FirstParagraph"/>
      </w:pPr>
      <w:r>
        <w:rPr>
          <w:b/>
          <w:bCs/>
        </w:rPr>
        <w:t xml:space="preserve">Step 3: Apply the CIA Rule of Thumb</w:t>
      </w:r>
    </w:p>
    <w:p>
      <w:pPr>
        <w:pStyle w:val="BodyText"/>
      </w:pPr>
      <w:r>
        <w:t xml:space="preserve">Compare the two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Interest rate difference</w:t>
            </w:r>
          </w:p>
        </w:tc>
        <w:tc>
          <w:tcPr/>
          <w:p>
            <w:pPr>
              <w:pStyle w:val="Compact"/>
            </w:pPr>
            <w:r>
              <w:t xml:space="preserve">3%</w:t>
            </w:r>
          </w:p>
        </w:tc>
      </w:tr>
      <w:tr>
        <w:tc>
          <w:tcPr/>
          <w:p>
            <w:pPr>
              <w:pStyle w:val="Compact"/>
            </w:pPr>
            <w:r>
              <w:t xml:space="preserve">Forward premium</w:t>
            </w:r>
          </w:p>
        </w:tc>
        <w:tc>
          <w:tcPr/>
          <w:p>
            <w:pPr>
              <w:pStyle w:val="Compact"/>
            </w:pPr>
            <w:r>
              <w:t xml:space="preserve">1.82%</w:t>
            </w:r>
          </w:p>
        </w:tc>
      </w:tr>
    </w:tbl>
    <w:p>
      <w:pPr>
        <w:pStyle w:val="BodyText"/>
      </w:pPr>
      <w:r>
        <w:t xml:space="preserve">Since</w:t>
      </w:r>
    </w:p>
    <w:p>
      <w:pPr>
        <w:pStyle w:val="BodyText"/>
      </w:pPr>
      <m:oMathPara>
        <m:oMathParaPr>
          <m:jc m:val="center"/>
        </m:oMathParaPr>
        <m:oMath>
          <m:r>
            <m:t>3</m:t>
          </m:r>
          <m:r>
            <m:rPr>
              <m:sty m:val="p"/>
            </m:rPr>
            <m:t>%</m:t>
          </m:r>
          <m:r>
            <m:rPr>
              <m:sty m:val="p"/>
            </m:rPr>
            <m:t>&gt;</m:t>
          </m:r>
          <m:r>
            <m:t>1.82</m:t>
          </m:r>
          <m:r>
            <m:rPr>
              <m:sty m:val="p"/>
            </m:rPr>
            <m:t>%</m:t>
          </m:r>
        </m:oMath>
      </m:oMathPara>
    </w:p>
    <w:p>
      <w:pPr>
        <w:pStyle w:val="FirstParagraph"/>
      </w:pPr>
      <w:r>
        <w:t xml:space="preserve">the rule of thumb suggests:</w:t>
      </w:r>
    </w:p>
    <w:p>
      <w:pPr>
        <w:pStyle w:val="BodyText"/>
      </w:pPr>
      <w:r>
        <w:rPr>
          <w:b/>
          <w:bCs/>
        </w:rPr>
        <w:t xml:space="preserve">Invest in the higher-yielding currency (U.S. dollars).</w:t>
      </w:r>
    </w:p>
    <w:p>
      <w:r>
        <w:pict>
          <v:rect style="width:0;height:1.5pt" o:hralign="center" o:hrstd="t" o:hr="t"/>
        </w:pict>
      </w:r>
    </w:p>
    <w:p>
      <w:pPr>
        <w:pStyle w:val="FirstParagraph"/>
      </w:pPr>
      <w:r>
        <w:rPr>
          <w:b/>
          <w:bCs/>
        </w:rPr>
        <w:t xml:space="preserve">Interpretation:</w:t>
      </w:r>
    </w:p>
    <w:p>
      <w:pPr>
        <w:pStyle w:val="BodyText"/>
      </w:pPr>
      <w:r>
        <w:t xml:space="preserve">The U.S. interest rate advantage (3%) is</w:t>
      </w:r>
      <w:r>
        <w:t xml:space="preserve"> </w:t>
      </w:r>
      <w:r>
        <w:rPr>
          <w:b/>
          <w:bCs/>
        </w:rPr>
        <w:t xml:space="preserve">greater than</w:t>
      </w:r>
      <w:r>
        <w:t xml:space="preserve"> </w:t>
      </w:r>
      <w:r>
        <w:t xml:space="preserve">the forward premium (1.82%).</w:t>
      </w:r>
    </w:p>
    <w:p>
      <w:pPr>
        <w:pStyle w:val="BodyText"/>
      </w:pPr>
      <w:r>
        <w:t xml:space="preserve">This means the forward market does</w:t>
      </w:r>
      <w:r>
        <w:t xml:space="preserve"> </w:t>
      </w:r>
      <w:r>
        <w:rPr>
          <w:b/>
          <w:bCs/>
        </w:rPr>
        <w:t xml:space="preserve">not fully offset</w:t>
      </w:r>
      <w:r>
        <w:t xml:space="preserve"> </w:t>
      </w:r>
      <w:r>
        <w:t xml:space="preserve">the higher U.S. interest rate, creating an incentive for investors to invest in dollar-denominated assets while covering exchange rate risk with a forward contract.</w:t>
      </w:r>
    </w:p>
    <w:p>
      <w:r>
        <w:pict>
          <v:rect style="width:0;height:1.5pt" o:hralign="center" o:hrstd="t" o:hr="t"/>
        </w:pict>
      </w:r>
    </w:p>
    <w:p>
      <w:pPr>
        <w:pStyle w:val="FirstParagraph"/>
      </w:pPr>
      <w:r>
        <w:t xml:space="preserve">If the</w:t>
      </w:r>
      <w:r>
        <w:t xml:space="preserve"> </w:t>
      </w:r>
      <w:r>
        <w:rPr>
          <w:b/>
          <w:bCs/>
        </w:rPr>
        <w:t xml:space="preserve">interest rate differential exceeds the forward premium</w:t>
      </w:r>
      <w:r>
        <w:t xml:space="preserve">, investors will prefer the</w:t>
      </w:r>
      <w:r>
        <w:t xml:space="preserve"> </w:t>
      </w:r>
      <w:r>
        <w:rPr>
          <w:b/>
          <w:bCs/>
        </w:rPr>
        <w:t xml:space="preserve">higher-yielding currency</w:t>
      </w:r>
      <w:r>
        <w:t xml:space="preserve"> </w:t>
      </w:r>
      <w:r>
        <w:t xml:space="preserve">when engaging in covered interest arbitrage.</w:t>
      </w:r>
    </w:p>
    <w:p>
      <w:pPr>
        <w:pStyle w:val="BodyText"/>
      </w:pPr>
      <w:r>
        <w:rPr>
          <w:b/>
          <w:bCs/>
        </w:rPr>
        <w:t xml:space="preserve">How CIA Restores Equilibrium</w:t>
      </w:r>
    </w:p>
    <w:p>
      <w:pPr>
        <w:pStyle w:val="BodyText"/>
      </w:pPr>
      <w:r>
        <w:t xml:space="preserve">Covered interest arbitrage pushes markets back toward IRP because:</w:t>
      </w:r>
    </w:p>
    <w:p>
      <w:pPr>
        <w:pStyle w:val="Compact"/>
        <w:numPr>
          <w:ilvl w:val="0"/>
          <w:numId w:val="1021"/>
        </w:numPr>
      </w:pPr>
      <w:r>
        <w:t xml:space="preserve">buying the foreign currency spot and selling it forward narrows the forward premium;</w:t>
      </w:r>
    </w:p>
    <w:p>
      <w:pPr>
        <w:pStyle w:val="Compact"/>
        <w:numPr>
          <w:ilvl w:val="0"/>
          <w:numId w:val="1021"/>
        </w:numPr>
      </w:pPr>
      <w:r>
        <w:t xml:space="preserve">capital flowing into the foreign money market pushes that foreign interest rate down;</w:t>
      </w:r>
    </w:p>
    <w:p>
      <w:pPr>
        <w:pStyle w:val="Compact"/>
        <w:numPr>
          <w:ilvl w:val="0"/>
          <w:numId w:val="1021"/>
        </w:numPr>
      </w:pPr>
      <w:r>
        <w:t xml:space="preserve">capital leaving the domestic money market pushes the domestic rate up.</w:t>
      </w:r>
    </w:p>
    <w:p>
      <w:pPr>
        <w:pStyle w:val="FirstParagraph"/>
      </w:pPr>
      <w:r>
        <w:t xml:space="preserve">Arbitrage therefore destroys the arbitrage opportunity.</w:t>
      </w:r>
    </w:p>
    <w:bookmarkEnd w:id="53"/>
    <w:bookmarkEnd w:id="54"/>
    <w:bookmarkEnd w:id="55"/>
    <w:bookmarkStart w:id="58"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2"/>
        </w:numPr>
      </w:pPr>
      <w:r>
        <w:t xml:space="preserve">borrows in a low-interest-rate currency,</w:t>
      </w:r>
    </w:p>
    <w:p>
      <w:pPr>
        <w:pStyle w:val="Compact"/>
        <w:numPr>
          <w:ilvl w:val="0"/>
          <w:numId w:val="1022"/>
        </w:numPr>
      </w:pPr>
      <w:r>
        <w:t xml:space="preserve">converts into a higher-interest-rate currency,</w:t>
      </w:r>
    </w:p>
    <w:p>
      <w:pPr>
        <w:pStyle w:val="Compact"/>
        <w:numPr>
          <w:ilvl w:val="0"/>
          <w:numId w:val="1022"/>
        </w:numPr>
      </w:pPr>
      <w:r>
        <w:t xml:space="preserve">invests at the higher rate,</w:t>
      </w:r>
    </w:p>
    <w:p>
      <w:pPr>
        <w:pStyle w:val="Compact"/>
        <w:numPr>
          <w:ilvl w:val="0"/>
          <w:numId w:val="1022"/>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56"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56"/>
    <w:bookmarkStart w:id="57"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57"/>
    <w:bookmarkEnd w:id="58"/>
    <w:bookmarkStart w:id="63"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CaptionedFigure"/>
      </w:pPr>
      <w:r>
        <w:drawing>
          <wp:inline>
            <wp:extent cx="5600700" cy="4200525"/>
            <wp:effectExtent b="0" l="0" r="0" t="0"/>
            <wp:docPr descr="Interest Rate Parity and Equilibrium" title="" id="60" name="Picture"/>
            <a:graphic>
              <a:graphicData uri="http://schemas.openxmlformats.org/drawingml/2006/picture">
                <pic:pic>
                  <pic:nvPicPr>
                    <pic:cNvPr descr="../assets/images/Ch06/Exhibit_6.8.png" id="61" name="Picture"/>
                    <pic:cNvPicPr>
                      <a:picLocks noChangeArrowheads="1" noChangeAspect="1"/>
                    </pic:cNvPicPr>
                  </pic:nvPicPr>
                  <pic:blipFill>
                    <a:blip r:embed="rId59"/>
                    <a:stretch>
                      <a:fillRect/>
                    </a:stretch>
                  </pic:blipFill>
                  <pic:spPr bwMode="auto">
                    <a:xfrm>
                      <a:off x="0" y="0"/>
                      <a:ext cx="5600700" cy="4200525"/>
                    </a:xfrm>
                    <a:prstGeom prst="rect">
                      <a:avLst/>
                    </a:prstGeom>
                    <a:noFill/>
                    <a:ln w="9525">
                      <a:noFill/>
                      <a:headEnd/>
                      <a:tailEnd/>
                    </a:ln>
                  </pic:spPr>
                </pic:pic>
              </a:graphicData>
            </a:graphic>
          </wp:inline>
        </w:drawing>
      </w:r>
    </w:p>
    <w:p>
      <w:pPr>
        <w:pStyle w:val="ImageCaption"/>
      </w:pPr>
      <w:r>
        <w:t xml:space="preserve">Interest Rate Parity and Equilibrium</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3"/>
        </w:numPr>
      </w:pPr>
      <w:r>
        <w:t xml:space="preserve">interest rate differentials, and</w:t>
      </w:r>
    </w:p>
    <w:p>
      <w:pPr>
        <w:pStyle w:val="Compact"/>
        <w:numPr>
          <w:ilvl w:val="0"/>
          <w:numId w:val="1023"/>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2" w:name="why-this-section-matters"/>
    <w:p>
      <w:pPr>
        <w:pStyle w:val="Heading4"/>
      </w:pPr>
      <w:r>
        <w:t xml:space="preserve">6.2.8.1 Why This Section Matters</w:t>
      </w:r>
    </w:p>
    <w:p>
      <w:pPr>
        <w:pStyle w:val="FirstParagraph"/>
      </w:pPr>
      <w:r>
        <w:t xml:space="preserve">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2"/>
    <w:bookmarkEnd w:id="63"/>
    <w:bookmarkEnd w:id="64"/>
    <w:bookmarkStart w:id="69"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6"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5"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4"/>
        </w:numPr>
      </w:pPr>
      <w:r>
        <w:t xml:space="preserve">all relevant information is quickly reflected in spot and forward rates;</w:t>
      </w:r>
    </w:p>
    <w:p>
      <w:pPr>
        <w:pStyle w:val="Compact"/>
        <w:numPr>
          <w:ilvl w:val="0"/>
          <w:numId w:val="1024"/>
        </w:numPr>
      </w:pPr>
      <w:r>
        <w:t xml:space="preserve">transaction costs are low;</w:t>
      </w:r>
    </w:p>
    <w:p>
      <w:pPr>
        <w:pStyle w:val="Compact"/>
        <w:numPr>
          <w:ilvl w:val="0"/>
          <w:numId w:val="1024"/>
        </w:numPr>
      </w:pPr>
      <w:r>
        <w:t xml:space="preserve">assets denominated in different currencies are close substitutes.</w:t>
      </w:r>
    </w:p>
    <w:p>
      <w:pPr>
        <w:pStyle w:val="FirstParagraph"/>
      </w:pPr>
      <w:r>
        <w:t xml:space="preserve">Under those conditions, there is little room for systematic forecasting profit.</w:t>
      </w:r>
    </w:p>
    <w:bookmarkEnd w:id="65"/>
    <w:bookmarkEnd w:id="66"/>
    <w:bookmarkStart w:id="68"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67"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5"/>
        </w:numPr>
      </w:pPr>
      <w:r>
        <w:t xml:space="preserve">a market-implied benchmark,</w:t>
      </w:r>
    </w:p>
    <w:p>
      <w:pPr>
        <w:pStyle w:val="Compact"/>
        <w:numPr>
          <w:ilvl w:val="0"/>
          <w:numId w:val="1025"/>
        </w:numPr>
      </w:pPr>
      <w:r>
        <w:t xml:space="preserve">a hedging price,</w:t>
      </w:r>
    </w:p>
    <w:p>
      <w:pPr>
        <w:pStyle w:val="Compact"/>
        <w:numPr>
          <w:ilvl w:val="0"/>
          <w:numId w:val="1025"/>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67"/>
    <w:bookmarkEnd w:id="68"/>
    <w:bookmarkEnd w:id="69"/>
    <w:bookmarkStart w:id="78"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6"/>
        </w:numPr>
      </w:pPr>
      <w:r>
        <w:t xml:space="preserve">forecast inflation in Japan = 1%,</w:t>
      </w:r>
    </w:p>
    <w:p>
      <w:pPr>
        <w:pStyle w:val="Compact"/>
        <w:numPr>
          <w:ilvl w:val="0"/>
          <w:numId w:val="1026"/>
        </w:numPr>
      </w:pPr>
      <w:r>
        <w:t xml:space="preserve">forecast inflation in the United States = 5%,</w:t>
      </w:r>
    </w:p>
    <w:p>
      <w:pPr>
        <w:pStyle w:val="Compact"/>
        <w:numPr>
          <w:ilvl w:val="0"/>
          <w:numId w:val="1026"/>
        </w:numPr>
      </w:pPr>
      <w:r>
        <w:t xml:space="preserve">nominal interest rate in Japan = 4%,</w:t>
      </w:r>
    </w:p>
    <w:p>
      <w:pPr>
        <w:pStyle w:val="Compact"/>
        <w:numPr>
          <w:ilvl w:val="0"/>
          <w:numId w:val="1026"/>
        </w:numPr>
      </w:pPr>
      <w:r>
        <w:t xml:space="preserve">nominal interest rate in the United States = 8%,</w:t>
      </w:r>
    </w:p>
    <w:p>
      <w:pPr>
        <w:pStyle w:val="Compact"/>
        <w:numPr>
          <w:ilvl w:val="0"/>
          <w:numId w:val="1026"/>
        </w:numPr>
      </w:pPr>
      <w:r>
        <w:t xml:space="preserve">spot rate = 104 yen per dollar,</w:t>
      </w:r>
    </w:p>
    <w:p>
      <w:pPr>
        <w:pStyle w:val="Compact"/>
        <w:numPr>
          <w:ilvl w:val="0"/>
          <w:numId w:val="1026"/>
        </w:numPr>
      </w:pPr>
      <w:r>
        <w:t xml:space="preserve">one-year forward rate = 100 yen per dollar.</w:t>
      </w:r>
    </w:p>
    <w:bookmarkStart w:id="70"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0"/>
    <w:bookmarkStart w:id="71"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1"/>
    <w:bookmarkStart w:id="72"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2"/>
    <w:bookmarkStart w:id="73"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3"/>
    <w:bookmarkStart w:id="75"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4"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7"/>
        </w:numPr>
      </w:pPr>
      <w:r>
        <w:t xml:space="preserve">the inflation differential,</w:t>
      </w:r>
    </w:p>
    <w:p>
      <w:pPr>
        <w:pStyle w:val="Compact"/>
        <w:numPr>
          <w:ilvl w:val="0"/>
          <w:numId w:val="1027"/>
        </w:numPr>
      </w:pPr>
      <w:r>
        <w:t xml:space="preserve">the nominal interest differential,</w:t>
      </w:r>
    </w:p>
    <w:p>
      <w:pPr>
        <w:pStyle w:val="Compact"/>
        <w:numPr>
          <w:ilvl w:val="0"/>
          <w:numId w:val="1027"/>
        </w:numPr>
      </w:pPr>
      <w:r>
        <w:t xml:space="preserve">the expected change in the spot exchange rate,</w:t>
      </w:r>
    </w:p>
    <w:p>
      <w:pPr>
        <w:pStyle w:val="Compact"/>
        <w:numPr>
          <w:ilvl w:val="0"/>
          <w:numId w:val="1027"/>
        </w:numPr>
      </w:pPr>
      <w:r>
        <w:t xml:space="preserve">the forward premium or discount,</w:t>
      </w:r>
    </w:p>
    <w:p>
      <w:pPr>
        <w:pStyle w:val="Compact"/>
        <w:numPr>
          <w:ilvl w:val="0"/>
          <w:numId w:val="1027"/>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4"/>
    <w:bookmarkEnd w:id="75"/>
    <w:bookmarkStart w:id="76"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8"/>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8"/>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8"/>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8"/>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8"/>
        </w:numPr>
      </w:pPr>
      <w:r>
        <w:rPr>
          <w:b/>
          <w:bCs/>
        </w:rPr>
        <w:t xml:space="preserve">Exchange rate pass-through</w:t>
      </w:r>
      <w:r>
        <w:t xml:space="preserve"> </w:t>
      </w:r>
      <w:r>
        <w:t xml:space="preserve">is often partial because firms manage pricing strategically.</w:t>
      </w:r>
    </w:p>
    <w:p>
      <w:pPr>
        <w:pStyle w:val="Compact"/>
        <w:numPr>
          <w:ilvl w:val="0"/>
          <w:numId w:val="1028"/>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8"/>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8"/>
        </w:numPr>
      </w:pPr>
      <w:r>
        <w:rPr>
          <w:b/>
          <w:bCs/>
        </w:rPr>
        <w:t xml:space="preserve">Forward rates</w:t>
      </w:r>
      <w:r>
        <w:t xml:space="preserve"> </w:t>
      </w:r>
      <w:r>
        <w:t xml:space="preserve">are determined by spot rates and interest differentials.</w:t>
      </w:r>
    </w:p>
    <w:p>
      <w:pPr>
        <w:pStyle w:val="Compact"/>
        <w:numPr>
          <w:ilvl w:val="0"/>
          <w:numId w:val="1028"/>
        </w:numPr>
      </w:pPr>
      <w:r>
        <w:rPr>
          <w:b/>
          <w:bCs/>
        </w:rPr>
        <w:t xml:space="preserve">Interest rate parity</w:t>
      </w:r>
      <w:r>
        <w:t xml:space="preserve"> </w:t>
      </w:r>
      <w:r>
        <w:t xml:space="preserve">explains why covered arbitrage profits should not persist.</w:t>
      </w:r>
    </w:p>
    <w:p>
      <w:pPr>
        <w:pStyle w:val="Compact"/>
        <w:numPr>
          <w:ilvl w:val="0"/>
          <w:numId w:val="1028"/>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8"/>
        </w:numPr>
      </w:pPr>
      <w:r>
        <w:t xml:space="preserve">The forward rate is not necessarily a perfect forecast, even if it is a key market benchmark.</w:t>
      </w:r>
    </w:p>
    <w:p>
      <w:pPr>
        <w:pStyle w:val="Compact"/>
        <w:numPr>
          <w:ilvl w:val="0"/>
          <w:numId w:val="1028"/>
        </w:numPr>
      </w:pPr>
      <w:r>
        <w:t xml:space="preserve">In equilibrium, prices, inflation, interest rates, forward rates, and exchange rates fit together as one system.</w:t>
      </w:r>
    </w:p>
    <w:bookmarkEnd w:id="76"/>
    <w:bookmarkStart w:id="77" w:name="suggested-review-questions"/>
    <w:p>
      <w:pPr>
        <w:pStyle w:val="Heading3"/>
      </w:pPr>
      <w:r>
        <w:t xml:space="preserve">Suggested Review Questions</w:t>
      </w:r>
    </w:p>
    <w:p>
      <w:pPr>
        <w:pStyle w:val="Compact"/>
        <w:numPr>
          <w:ilvl w:val="0"/>
          <w:numId w:val="1029"/>
        </w:numPr>
      </w:pPr>
      <w:r>
        <w:t xml:space="preserve">Why does the law of one price rarely hold perfectly in practice?</w:t>
      </w:r>
    </w:p>
    <w:p>
      <w:pPr>
        <w:pStyle w:val="Compact"/>
        <w:numPr>
          <w:ilvl w:val="0"/>
          <w:numId w:val="1029"/>
        </w:numPr>
      </w:pPr>
      <w:r>
        <w:t xml:space="preserve">What is the difference between absolute PPP and relative PPP?</w:t>
      </w:r>
    </w:p>
    <w:p>
      <w:pPr>
        <w:pStyle w:val="Compact"/>
        <w:numPr>
          <w:ilvl w:val="0"/>
          <w:numId w:val="1029"/>
        </w:numPr>
      </w:pPr>
      <w:r>
        <w:t xml:space="preserve">Why can a currency remain away from PPP for long periods?</w:t>
      </w:r>
    </w:p>
    <w:p>
      <w:pPr>
        <w:pStyle w:val="Compact"/>
        <w:numPr>
          <w:ilvl w:val="0"/>
          <w:numId w:val="1029"/>
        </w:numPr>
      </w:pPr>
      <w:r>
        <w:t xml:space="preserve">What does a real effective exchange rate above 100 suggest?</w:t>
      </w:r>
    </w:p>
    <w:p>
      <w:pPr>
        <w:pStyle w:val="Compact"/>
        <w:numPr>
          <w:ilvl w:val="0"/>
          <w:numId w:val="1029"/>
        </w:numPr>
      </w:pPr>
      <w:r>
        <w:t xml:space="preserve">Why might a firm choose only partial exchange rate pass-through?</w:t>
      </w:r>
    </w:p>
    <w:p>
      <w:pPr>
        <w:pStyle w:val="Compact"/>
        <w:numPr>
          <w:ilvl w:val="0"/>
          <w:numId w:val="1029"/>
        </w:numPr>
      </w:pPr>
      <w:r>
        <w:t xml:space="preserve">Why do high nominal interest rates not always attract capital?</w:t>
      </w:r>
    </w:p>
    <w:p>
      <w:pPr>
        <w:pStyle w:val="Compact"/>
        <w:numPr>
          <w:ilvl w:val="0"/>
          <w:numId w:val="1029"/>
        </w:numPr>
      </w:pPr>
      <w:r>
        <w:t xml:space="preserve">Why is the forward rate a pricing relationship rather than automatically a forecast?</w:t>
      </w:r>
    </w:p>
    <w:p>
      <w:pPr>
        <w:pStyle w:val="Compact"/>
        <w:numPr>
          <w:ilvl w:val="0"/>
          <w:numId w:val="1029"/>
        </w:numPr>
      </w:pPr>
      <w:r>
        <w:t xml:space="preserve">What makes covered interest arbitrage different from uncovered interest arbitrage?</w:t>
      </w:r>
    </w:p>
    <w:p>
      <w:pPr>
        <w:pStyle w:val="Compact"/>
        <w:numPr>
          <w:ilvl w:val="0"/>
          <w:numId w:val="1029"/>
        </w:numPr>
      </w:pPr>
      <w:r>
        <w:t xml:space="preserve">Why does the yen carry trade offer profit opportunities but also substantial risk?</w:t>
      </w:r>
    </w:p>
    <w:p>
      <w:pPr>
        <w:pStyle w:val="Compact"/>
        <w:numPr>
          <w:ilvl w:val="0"/>
          <w:numId w:val="1029"/>
        </w:numPr>
      </w:pPr>
      <w:r>
        <w:t xml:space="preserve">How do the parity conditions connect in the final equilibrium framework?</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2026-04-08T03:28:01Z</dcterms:created>
  <dcterms:modified xsi:type="dcterms:W3CDTF">2026-04-08T03:28:01Z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