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4.3 - Financial Goals, Corporate Governance, and the Market for Corporate Control</w:t>
      </w:r>
    </w:p>
    <w:p>
      <w:pPr>
        <w:pStyle w:val="Author"/>
      </w:pPr>
      <w:r>
        <w:t xml:space="preserve">Prof. Barker</w:t>
      </w:r>
    </w:p>
    <w:p>
      <w:pPr>
        <w:pStyle w:val="Date"/>
      </w:pPr>
      <w:r>
        <w:t xml:space="preserve">2026-04-07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4.3 - Financial Goals, Corporate Governance, and the Market for Corporate Control</dc:title>
  <dc:creator>Prof. Barker</dc:creator>
  <cp:keywords/>
  <dcterms:created xsi:type="dcterms:W3CDTF">2026-04-08T03:29:11Z</dcterms:created>
  <dcterms:modified xsi:type="dcterms:W3CDTF">2026-04-08T03:29:11Z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