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International Finance Simulation</w:t>
      </w:r>
    </w:p>
    <w:p>
      <w:pPr>
        <w:pStyle w:val="Subtitle"/>
      </w:pPr>
      <w:r>
        <w:t xml:space="preserve">How the simulation works, what to do each week, and what you will submit</w:t>
      </w:r>
    </w:p>
    <w:p>
      <w:pPr>
        <w:pStyle w:val="Date"/>
      </w:pPr>
      <w:r>
        <w:t xml:space="preserve">2026-01-22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semester-long, country-based decision exercise where you and your teammates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propagate through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29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chapter concepts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is expected (because roles have different objectives)</w:t>
      </w:r>
    </w:p>
    <w:bookmarkEnd w:id="24"/>
    <w:bookmarkStart w:id="28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positively.</w:t>
            </w:r>
          </w:p>
          <w:p/>
        </w:tc>
      </w:tr>
    </w:tbl>
    <w:bookmarkEnd w:id="28"/>
    <w:bookmarkEnd w:id="29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12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Prep (Weeks 1–2):</w:t>
      </w:r>
      <w:r>
        <w:t xml:space="preserve"> </w:t>
      </w:r>
      <w:r>
        <w:t xml:space="preserve">training, roles, practice round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 I (Weeks 3–6):</w:t>
      </w:r>
      <w:r>
        <w:t xml:space="preserve"> </w:t>
      </w:r>
      <w:r>
        <w:t xml:space="preserve">foundations and a stable system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 II (Weeks 7–8):</w:t>
      </w:r>
      <w:r>
        <w:t xml:space="preserve"> </w:t>
      </w:r>
      <w:r>
        <w:t xml:space="preserve">regional war shock and realignment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 III (Weeks 9–12):</w:t>
      </w:r>
      <w:r>
        <w:t xml:space="preserve"> </w:t>
      </w:r>
      <w:r>
        <w:t xml:space="preserve">reconstruction and new system</w:t>
      </w:r>
    </w:p>
    <w:p>
      <w:pPr>
        <w:pStyle w:val="FirstParagraph"/>
      </w:pPr>
      <w:r>
        <w:t xml:space="preserve">See:</w:t>
      </w:r>
      <w:r>
        <w:t xml:space="preserve"> </w:t>
      </w:r>
      <w:hyperlink r:id="rId30">
        <w:r>
          <w:rPr>
            <w:rStyle w:val="Hyperlink"/>
          </w:rPr>
          <w:t xml:space="preserve">Simulation Timeline</w:t>
        </w:r>
      </w:hyperlink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chapter(s) and the weekly case brief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(Canvas)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Common submissions include: - Country policy memos (1–2 pages) - Decision forms (country-level, role-level, or both) - Crisis briefs (during shock weeks) - Final presentation materials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9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Weekly Briefs and Release Schedule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6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37" Target="roles.qmd" TargetMode="External" /><Relationship Type="http://schemas.openxmlformats.org/officeDocument/2006/relationships/hyperlink" Id="rId30" Target="timeline.qmd" TargetMode="External" /><Relationship Type="http://schemas.openxmlformats.org/officeDocument/2006/relationships/hyperlink" Id="rId38" Target="weekly-brief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37" Target="roles.qmd" TargetMode="External" /><Relationship Type="http://schemas.openxmlformats.org/officeDocument/2006/relationships/hyperlink" Id="rId30" Target="timeline.qmd" TargetMode="External" /><Relationship Type="http://schemas.openxmlformats.org/officeDocument/2006/relationships/hyperlink" Id="rId38" Target="weekly-brief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International Finance Simulation</dc:title>
  <dc:creator/>
  <cp:keywords/>
  <dcterms:created xsi:type="dcterms:W3CDTF">2026-01-23T02:05:18Z</dcterms:created>
  <dcterms:modified xsi:type="dcterms:W3CDTF">2026-01-23T02:05:18Z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2026-01-22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How the simulation works, what to do each week, and what you will submit</vt:lpwstr>
  </property>
  <property fmtid="{D5CDD505-2E9C-101B-9397-08002B2CF9AE}" pid="9" name="toc-title">
    <vt:lpwstr>Table of contents</vt:lpwstr>
  </property>
</Properties>
</file>