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6 - International Parity Conditions</w:t>
      </w:r>
    </w:p>
    <w:p>
      <w:pPr>
        <w:pStyle w:val="Author"/>
      </w:pPr>
      <w:r>
        <w:t xml:space="preserve">Prof. Barker</w:t>
      </w:r>
    </w:p>
    <w:p>
      <w:pPr>
        <w:pStyle w:val="Date"/>
      </w:pPr>
      <w:r>
        <w:t xml:space="preserve">2026-04-13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introduction"/>
    <w:p>
      <w:pPr>
        <w:pStyle w:val="Heading1"/>
      </w:pPr>
      <w:r>
        <w:t xml:space="preserve">6. Introduction</w:t>
      </w:r>
    </w:p>
    <w:bookmarkStart w:id="22" w:name="prices-and-exchange-rates"/>
    <w:p>
      <w:pPr>
        <w:pStyle w:val="Heading2"/>
      </w:pPr>
      <w:r>
        <w:t xml:space="preserve">6.1 Prices and Exchange Rates</w:t>
      </w:r>
    </w:p>
    <w:bookmarkStart w:id="20" w:name="law-of-one-price"/>
    <w:p>
      <w:pPr>
        <w:pStyle w:val="Heading3"/>
      </w:pPr>
      <w:r>
        <w:t xml:space="preserve">6.1.1 Law of One Price</w:t>
      </w:r>
    </w:p>
    <w:bookmarkEnd w:id="20"/>
    <w:bookmarkStart w:id="21" w:name="purchasing-power-parity"/>
    <w:p>
      <w:pPr>
        <w:pStyle w:val="Heading3"/>
      </w:pPr>
      <w:r>
        <w:t xml:space="preserve">6.1.2 Purchasing Power Parity</w:t>
      </w:r>
    </w:p>
    <w:bookmarkEnd w:id="21"/>
    <w:bookmarkEnd w:id="22"/>
    <w:bookmarkStart w:id="25" w:name="interest-rates-and-exchange-rates"/>
    <w:p>
      <w:pPr>
        <w:pStyle w:val="Heading2"/>
      </w:pPr>
      <w:r>
        <w:t xml:space="preserve">6.2 Interest Rates and Exchange Rates</w:t>
      </w:r>
    </w:p>
    <w:bookmarkStart w:id="23" w:name="fisher-effect"/>
    <w:p>
      <w:pPr>
        <w:pStyle w:val="Heading3"/>
      </w:pPr>
      <w:r>
        <w:t xml:space="preserve">6.2.1 Fisher Effect</w:t>
      </w:r>
    </w:p>
    <w:bookmarkEnd w:id="23"/>
    <w:bookmarkStart w:id="24" w:name="international-fisher-effect"/>
    <w:p>
      <w:pPr>
        <w:pStyle w:val="Heading3"/>
      </w:pPr>
      <w:r>
        <w:t xml:space="preserve">6.2.2 International Fisher Effect</w:t>
      </w:r>
    </w:p>
    <w:bookmarkEnd w:id="24"/>
    <w:bookmarkEnd w:id="25"/>
    <w:bookmarkStart w:id="26" w:name="forward-rate-as-an-unbiased-predictor"/>
    <w:p>
      <w:pPr>
        <w:pStyle w:val="Heading2"/>
      </w:pPr>
      <w:r>
        <w:t xml:space="preserve">6.3 Forward Rate as an Unbiased Predictor</w:t>
      </w:r>
    </w:p>
    <w:bookmarkEnd w:id="26"/>
    <w:bookmarkStart w:id="27" w:name="Xbf9a58a63734f8143213eb58aa9761d5a3c7298"/>
    <w:p>
      <w:pPr>
        <w:pStyle w:val="Heading2"/>
      </w:pPr>
      <w:r>
        <w:t xml:space="preserve">6.4 Prices, Interest Rates, and Exchange Rates in Equilibrium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6 - International Parity Conditions</dc:title>
  <dc:creator>Prof. Barker</dc:creator>
  <cp:keywords/>
  <dcterms:created xsi:type="dcterms:W3CDTF">2026-04-13T12:34:34Z</dcterms:created>
  <dcterms:modified xsi:type="dcterms:W3CDTF">2026-04-13T12:34:34Z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2026-04-13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