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48.jpg" ContentType="image/jpeg"/>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52"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42"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8"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p>
      <w:pPr>
        <w:pStyle w:val="CaptionedFigure"/>
      </w:pPr>
      <w:r>
        <w:drawing>
          <wp:inline>
            <wp:extent cx="5334000" cy="1860634"/>
            <wp:effectExtent b="0" l="0" r="0" t="0"/>
            <wp:docPr descr="Parties to a Letter of Credit" title="" id="36" name="Picture"/>
            <a:graphic>
              <a:graphicData uri="http://schemas.openxmlformats.org/drawingml/2006/picture">
                <pic:pic>
                  <pic:nvPicPr>
                    <pic:cNvPr descr="../assets/images/Ch16/Parties_LC.jpg" id="37" name="Picture"/>
                    <pic:cNvPicPr>
                      <a:picLocks noChangeArrowheads="1" noChangeAspect="1"/>
                    </pic:cNvPicPr>
                  </pic:nvPicPr>
                  <pic:blipFill>
                    <a:blip r:embed="rId35"/>
                    <a:stretch>
                      <a:fillRect/>
                    </a:stretch>
                  </pic:blipFill>
                  <pic:spPr bwMode="auto">
                    <a:xfrm>
                      <a:off x="0" y="0"/>
                      <a:ext cx="5334000" cy="1860634"/>
                    </a:xfrm>
                    <a:prstGeom prst="rect">
                      <a:avLst/>
                    </a:prstGeom>
                    <a:noFill/>
                    <a:ln w="9525">
                      <a:noFill/>
                      <a:headEnd/>
                      <a:tailEnd/>
                    </a:ln>
                  </pic:spPr>
                </pic:pic>
              </a:graphicData>
            </a:graphic>
          </wp:inline>
        </w:drawing>
      </w:r>
    </w:p>
    <w:p>
      <w:pPr>
        <w:pStyle w:val="ImageCaption"/>
      </w:pPr>
      <w:r>
        <w:t xml:space="preserve">Parties to a Letter of Credit</w:t>
      </w:r>
    </w:p>
    <w:bookmarkEnd w:id="38"/>
    <w:bookmarkStart w:id="39"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9"/>
    <w:bookmarkStart w:id="40"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40"/>
    <w:bookmarkStart w:id="41"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41"/>
    <w:bookmarkEnd w:id="42"/>
    <w:bookmarkStart w:id="46"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3"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3"/>
    <w:bookmarkStart w:id="44"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4"/>
    <w:bookmarkStart w:id="45"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Here is a simple illustration from the chapter to elaborate.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 The costs to hedge this transaction are comparable, but the difference is that in this example, the exporter gets the funds now instead of three months later.</w:t>
      </w:r>
    </w:p>
    <w:bookmarkEnd w:id="45"/>
    <w:bookmarkEnd w:id="46"/>
    <w:bookmarkStart w:id="47"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rPr>
          <w:b/>
          <w:bCs/>
        </w:rPr>
        <w:t xml:space="preserve">This is why the bill of lading is so powerful: it links the physical shipment to the financial process.</w:t>
      </w:r>
    </w:p>
    <w:bookmarkEnd w:id="47"/>
    <w:bookmarkStart w:id="51"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CaptionedFigure"/>
      </w:pPr>
      <w:r>
        <w:drawing>
          <wp:inline>
            <wp:extent cx="4800600" cy="3692769"/>
            <wp:effectExtent b="0" l="0" r="0" t="0"/>
            <wp:docPr descr="Steps in a typical trade transaction" title="" id="49" name="Picture"/>
            <a:graphic>
              <a:graphicData uri="http://schemas.openxmlformats.org/drawingml/2006/picture">
                <pic:pic>
                  <pic:nvPicPr>
                    <pic:cNvPr descr="../assets/images/Ch16/Steps_in_Typical_Trade.jpg" id="50" name="Picture"/>
                    <pic:cNvPicPr>
                      <a:picLocks noChangeArrowheads="1" noChangeAspect="1"/>
                    </pic:cNvPicPr>
                  </pic:nvPicPr>
                  <pic:blipFill>
                    <a:blip r:embed="rId48"/>
                    <a:stretch>
                      <a:fillRect/>
                    </a:stretch>
                  </pic:blipFill>
                  <pic:spPr bwMode="auto">
                    <a:xfrm>
                      <a:off x="0" y="0"/>
                      <a:ext cx="4800600" cy="3692769"/>
                    </a:xfrm>
                    <a:prstGeom prst="rect">
                      <a:avLst/>
                    </a:prstGeom>
                    <a:noFill/>
                    <a:ln w="9525">
                      <a:noFill/>
                      <a:headEnd/>
                      <a:tailEnd/>
                    </a:ln>
                  </pic:spPr>
                </pic:pic>
              </a:graphicData>
            </a:graphic>
          </wp:inline>
        </w:drawing>
      </w:r>
    </w:p>
    <w:p>
      <w:pPr>
        <w:pStyle w:val="ImageCaption"/>
      </w:pPr>
      <w:r>
        <w:t xml:space="preserve">Steps in a typical trade transaction</w:t>
      </w:r>
    </w:p>
    <w:p>
      <w:pPr>
        <w:pStyle w:val="BodyText"/>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51"/>
    <w:bookmarkEnd w:id="52"/>
    <w:bookmarkStart w:id="55"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53"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53"/>
    <w:bookmarkStart w:id="54"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54"/>
    <w:bookmarkEnd w:id="55"/>
    <w:bookmarkStart w:id="62"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6"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6"/>
    <w:bookmarkStart w:id="57"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7"/>
    <w:bookmarkStart w:id="58"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8"/>
    <w:bookmarkStart w:id="59"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9"/>
    <w:bookmarkStart w:id="60"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60"/>
    <w:bookmarkStart w:id="61"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61"/>
    <w:bookmarkEnd w:id="62"/>
    <w:bookmarkStart w:id="72"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63"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63"/>
    <w:bookmarkStart w:id="71"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64"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64"/>
    <w:bookmarkStart w:id="65"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65"/>
    <w:bookmarkStart w:id="66"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6"/>
    <w:bookmarkStart w:id="67"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7"/>
    <w:bookmarkStart w:id="68"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8"/>
    <w:bookmarkStart w:id="69"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9"/>
    <w:bookmarkStart w:id="70"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70"/>
    <w:bookmarkEnd w:id="71"/>
    <w:bookmarkEnd w:id="72"/>
    <w:bookmarkStart w:id="86" w:name="X97c17c7536d67d625fe1727670b828a34dc7cad"/>
    <w:p>
      <w:pPr>
        <w:pStyle w:val="Heading2"/>
      </w:pPr>
      <w:r>
        <w:t xml:space="preserve">16.6 Chapter 16 Summary: International Trade Finance</w:t>
      </w:r>
    </w:p>
    <w:bookmarkStart w:id="73" w:name="learning-objectives-review"/>
    <w:p>
      <w:pPr>
        <w:pStyle w:val="Heading3"/>
      </w:pPr>
      <w:r>
        <w:t xml:space="preserve">16.6.1 Learning Objectives Review</w:t>
      </w:r>
    </w:p>
    <w:p>
      <w:pPr>
        <w:pStyle w:val="FirstParagraph"/>
      </w:pPr>
      <w:r>
        <w:t xml:space="preserve">After completing this chapter, you should be able to:</w:t>
      </w:r>
    </w:p>
    <w:p>
      <w:pPr>
        <w:pStyle w:val="Compact"/>
        <w:numPr>
          <w:ilvl w:val="0"/>
          <w:numId w:val="1057"/>
        </w:numPr>
      </w:pPr>
      <w:r>
        <w:t xml:space="preserve">Explain the structure of the</w:t>
      </w:r>
      <w:r>
        <w:t xml:space="preserve"> </w:t>
      </w:r>
      <w:r>
        <w:rPr>
          <w:b/>
          <w:bCs/>
        </w:rPr>
        <w:t xml:space="preserve">trade relationship</w:t>
      </w:r>
      <w:r>
        <w:t xml:space="preserve"> </w:t>
      </w:r>
      <w:r>
        <w:t xml:space="preserve">between importer and exporter</w:t>
      </w:r>
      <w:r>
        <w:br/>
      </w:r>
    </w:p>
    <w:p>
      <w:pPr>
        <w:pStyle w:val="Compact"/>
        <w:numPr>
          <w:ilvl w:val="0"/>
          <w:numId w:val="1057"/>
        </w:numPr>
      </w:pPr>
      <w:r>
        <w:t xml:space="preserve">Describe how the</w:t>
      </w:r>
      <w:r>
        <w:t xml:space="preserve"> </w:t>
      </w:r>
      <w:r>
        <w:rPr>
          <w:b/>
          <w:bCs/>
        </w:rPr>
        <w:t xml:space="preserve">documentary system</w:t>
      </w:r>
      <w:r>
        <w:t xml:space="preserve"> </w:t>
      </w:r>
      <w:r>
        <w:t xml:space="preserve">facilitates trade and reduces risk</w:t>
      </w:r>
      <w:r>
        <w:br/>
      </w:r>
    </w:p>
    <w:p>
      <w:pPr>
        <w:pStyle w:val="Compact"/>
        <w:numPr>
          <w:ilvl w:val="0"/>
          <w:numId w:val="1057"/>
        </w:numPr>
      </w:pPr>
      <w:r>
        <w:t xml:space="preserve">Identify and explain the roles of the</w:t>
      </w:r>
      <w:r>
        <w:t xml:space="preserve"> </w:t>
      </w:r>
      <w:r>
        <w:rPr>
          <w:b/>
          <w:bCs/>
        </w:rPr>
        <w:t xml:space="preserve">letter of credit, draft, and bill of lading</w:t>
      </w:r>
      <w:r>
        <w:br/>
      </w:r>
    </w:p>
    <w:p>
      <w:pPr>
        <w:pStyle w:val="Compact"/>
        <w:numPr>
          <w:ilvl w:val="0"/>
          <w:numId w:val="1057"/>
        </w:numPr>
      </w:pPr>
      <w:r>
        <w:t xml:space="preserve">Evaluate the major</w:t>
      </w:r>
      <w:r>
        <w:t xml:space="preserve"> </w:t>
      </w:r>
      <w:r>
        <w:rPr>
          <w:b/>
          <w:bCs/>
        </w:rPr>
        <w:t xml:space="preserve">government programs supporting exports</w:t>
      </w:r>
      <w:r>
        <w:br/>
      </w:r>
    </w:p>
    <w:p>
      <w:pPr>
        <w:pStyle w:val="Compact"/>
        <w:numPr>
          <w:ilvl w:val="0"/>
          <w:numId w:val="1057"/>
        </w:numPr>
      </w:pPr>
      <w:r>
        <w:t xml:space="preserve">Compare the primary</w:t>
      </w:r>
      <w:r>
        <w:t xml:space="preserve"> </w:t>
      </w:r>
      <w:r>
        <w:rPr>
          <w:b/>
          <w:bCs/>
        </w:rPr>
        <w:t xml:space="preserve">trade financing alternatives</w:t>
      </w:r>
      <w:r>
        <w:br/>
      </w:r>
    </w:p>
    <w:p>
      <w:pPr>
        <w:pStyle w:val="Compact"/>
        <w:numPr>
          <w:ilvl w:val="0"/>
          <w:numId w:val="1057"/>
        </w:numPr>
      </w:pPr>
      <w:r>
        <w:t xml:space="preserve">Understand the structure and purpose of</w:t>
      </w:r>
      <w:r>
        <w:t xml:space="preserve"> </w:t>
      </w:r>
      <w:r>
        <w:rPr>
          <w:b/>
          <w:bCs/>
        </w:rPr>
        <w:t xml:space="preserve">forfaiting</w:t>
      </w:r>
    </w:p>
    <w:p>
      <w:r>
        <w:pict>
          <v:rect style="width:0;height:1.5pt" o:hralign="center" o:hrstd="t" o:hr="t"/>
        </w:pict>
      </w:r>
    </w:p>
    <w:bookmarkEnd w:id="73"/>
    <w:bookmarkStart w:id="74" w:name="the-trade-relationship-1"/>
    <w:p>
      <w:pPr>
        <w:pStyle w:val="Heading3"/>
      </w:pPr>
      <w:r>
        <w:t xml:space="preserve">16.6.2 The Trade Relationship</w:t>
      </w:r>
    </w:p>
    <w:p>
      <w:pPr>
        <w:pStyle w:val="Compact"/>
        <w:numPr>
          <w:ilvl w:val="0"/>
          <w:numId w:val="1058"/>
        </w:numPr>
      </w:pPr>
      <w:r>
        <w:t xml:space="preserve">Trade occurs between:</w:t>
      </w:r>
    </w:p>
    <w:p>
      <w:pPr>
        <w:pStyle w:val="Compact"/>
        <w:numPr>
          <w:ilvl w:val="1"/>
          <w:numId w:val="1059"/>
        </w:numPr>
      </w:pPr>
      <w:r>
        <w:rPr>
          <w:b/>
          <w:bCs/>
        </w:rPr>
        <w:t xml:space="preserve">Affiliated parties</w:t>
      </w:r>
    </w:p>
    <w:p>
      <w:pPr>
        <w:pStyle w:val="Compact"/>
        <w:numPr>
          <w:ilvl w:val="1"/>
          <w:numId w:val="1059"/>
        </w:numPr>
      </w:pPr>
      <w:r>
        <w:rPr>
          <w:b/>
          <w:bCs/>
        </w:rPr>
        <w:t xml:space="preserve">Unaffiliated known parties</w:t>
      </w:r>
    </w:p>
    <w:p>
      <w:pPr>
        <w:pStyle w:val="Compact"/>
        <w:numPr>
          <w:ilvl w:val="1"/>
          <w:numId w:val="1059"/>
        </w:numPr>
      </w:pPr>
      <w:r>
        <w:rPr>
          <w:b/>
          <w:bCs/>
        </w:rPr>
        <w:t xml:space="preserve">Unaffiliated unknown parties</w:t>
      </w:r>
    </w:p>
    <w:p>
      <w:pPr>
        <w:pStyle w:val="Compact"/>
        <w:numPr>
          <w:ilvl w:val="0"/>
          <w:numId w:val="1058"/>
        </w:numPr>
      </w:pPr>
      <w:r>
        <w:t xml:space="preserve">The central problem:</w:t>
      </w:r>
    </w:p>
    <w:p>
      <w:pPr>
        <w:pStyle w:val="Compact"/>
        <w:numPr>
          <w:ilvl w:val="1"/>
          <w:numId w:val="1060"/>
        </w:numPr>
      </w:pPr>
      <w:r>
        <w:t xml:space="preserve">Exporter → wants payment before shipment</w:t>
      </w:r>
      <w:r>
        <w:br/>
      </w:r>
    </w:p>
    <w:p>
      <w:pPr>
        <w:pStyle w:val="Compact"/>
        <w:numPr>
          <w:ilvl w:val="1"/>
          <w:numId w:val="1060"/>
        </w:numPr>
      </w:pPr>
      <w:r>
        <w:t xml:space="preserve">Importer → wants goods before payment</w:t>
      </w:r>
    </w:p>
    <w:p>
      <w:pPr>
        <w:pStyle w:val="Compact"/>
        <w:numPr>
          <w:ilvl w:val="0"/>
          <w:numId w:val="1058"/>
        </w:numPr>
      </w:pPr>
      <w:r>
        <w:t xml:space="preserve">This creates the</w:t>
      </w:r>
      <w:r>
        <w:t xml:space="preserve"> </w:t>
      </w:r>
      <w:r>
        <w:rPr>
          <w:b/>
          <w:bCs/>
        </w:rPr>
        <w:t xml:space="preserve">fundamental dilemma of international trade</w:t>
      </w:r>
    </w:p>
    <w:p>
      <w:r>
        <w:pict>
          <v:rect style="width:0;height:1.5pt" o:hralign="center" o:hrstd="t" o:hr="t"/>
        </w:pict>
      </w:r>
    </w:p>
    <w:bookmarkEnd w:id="74"/>
    <w:bookmarkStart w:id="75" w:name="key-risks-in-international-trade"/>
    <w:p>
      <w:pPr>
        <w:pStyle w:val="Heading3"/>
      </w:pPr>
      <w:r>
        <w:t xml:space="preserve">16.6.3 Key Risks in International Trade</w:t>
      </w:r>
    </w:p>
    <w:p>
      <w:pPr>
        <w:pStyle w:val="Compact"/>
        <w:numPr>
          <w:ilvl w:val="0"/>
          <w:numId w:val="1061"/>
        </w:numPr>
      </w:pPr>
      <w:r>
        <w:rPr>
          <w:b/>
          <w:bCs/>
        </w:rPr>
        <w:t xml:space="preserve">Risk of noncompletion</w:t>
      </w:r>
    </w:p>
    <w:p>
      <w:pPr>
        <w:pStyle w:val="Compact"/>
        <w:numPr>
          <w:ilvl w:val="1"/>
          <w:numId w:val="1062"/>
        </w:numPr>
      </w:pPr>
      <w:r>
        <w:t xml:space="preserve">One party fails to perform (nonpayment or non-delivery)</w:t>
      </w:r>
    </w:p>
    <w:p>
      <w:pPr>
        <w:pStyle w:val="Compact"/>
        <w:numPr>
          <w:ilvl w:val="0"/>
          <w:numId w:val="1061"/>
        </w:numPr>
      </w:pPr>
      <w:r>
        <w:rPr>
          <w:b/>
          <w:bCs/>
        </w:rPr>
        <w:t xml:space="preserve">Foreign exchange (currency) risk</w:t>
      </w:r>
    </w:p>
    <w:p>
      <w:pPr>
        <w:pStyle w:val="Compact"/>
        <w:numPr>
          <w:ilvl w:val="1"/>
          <w:numId w:val="1063"/>
        </w:numPr>
      </w:pPr>
      <w:r>
        <w:t xml:space="preserve">Value of payment currency fluctuates</w:t>
      </w:r>
    </w:p>
    <w:p>
      <w:pPr>
        <w:pStyle w:val="Compact"/>
        <w:numPr>
          <w:ilvl w:val="0"/>
          <w:numId w:val="1061"/>
        </w:numPr>
      </w:pPr>
      <w:r>
        <w:t xml:space="preserve">These risks are greatest during the:</w:t>
      </w:r>
    </w:p>
    <w:p>
      <w:pPr>
        <w:pStyle w:val="Compact"/>
        <w:numPr>
          <w:ilvl w:val="1"/>
          <w:numId w:val="1064"/>
        </w:numPr>
      </w:pPr>
      <w:r>
        <w:rPr>
          <w:b/>
          <w:bCs/>
        </w:rPr>
        <w:t xml:space="preserve">Financing period (shipment → payment)</w:t>
      </w:r>
    </w:p>
    <w:p>
      <w:r>
        <w:pict>
          <v:rect style="width:0;height:1.5pt" o:hralign="center" o:hrstd="t" o:hr="t"/>
        </w:pict>
      </w:r>
    </w:p>
    <w:bookmarkEnd w:id="75"/>
    <w:bookmarkStart w:id="76" w:name="the-documentary-system"/>
    <w:p>
      <w:pPr>
        <w:pStyle w:val="Heading3"/>
      </w:pPr>
      <w:r>
        <w:t xml:space="preserve">16.6.4 The Documentary System</w:t>
      </w:r>
    </w:p>
    <w:p>
      <w:pPr>
        <w:pStyle w:val="FirstParagraph"/>
      </w:pPr>
      <w:r>
        <w:t xml:space="preserve">Three key documents structure trade:</w:t>
      </w:r>
    </w:p>
    <w:p>
      <w:pPr>
        <w:pStyle w:val="Compact"/>
        <w:numPr>
          <w:ilvl w:val="0"/>
          <w:numId w:val="1065"/>
        </w:numPr>
      </w:pPr>
      <w:r>
        <w:rPr>
          <w:b/>
          <w:bCs/>
        </w:rPr>
        <w:t xml:space="preserve">Letter of Credit (L/C)</w:t>
      </w:r>
    </w:p>
    <w:p>
      <w:pPr>
        <w:pStyle w:val="Compact"/>
        <w:numPr>
          <w:ilvl w:val="1"/>
          <w:numId w:val="1066"/>
        </w:numPr>
      </w:pPr>
      <w:r>
        <w:t xml:space="preserve">Bank promise to pay</w:t>
      </w:r>
    </w:p>
    <w:p>
      <w:pPr>
        <w:pStyle w:val="Compact"/>
        <w:numPr>
          <w:ilvl w:val="1"/>
          <w:numId w:val="1066"/>
        </w:numPr>
      </w:pPr>
      <w:r>
        <w:t xml:space="preserve">Substitutes bank credit for importer credit</w:t>
      </w:r>
    </w:p>
    <w:p>
      <w:pPr>
        <w:pStyle w:val="Compact"/>
        <w:numPr>
          <w:ilvl w:val="0"/>
          <w:numId w:val="1065"/>
        </w:numPr>
      </w:pPr>
      <w:r>
        <w:rPr>
          <w:b/>
          <w:bCs/>
        </w:rPr>
        <w:t xml:space="preserve">Draft (Bill of Exchange)</w:t>
      </w:r>
    </w:p>
    <w:p>
      <w:pPr>
        <w:pStyle w:val="Compact"/>
        <w:numPr>
          <w:ilvl w:val="1"/>
          <w:numId w:val="1067"/>
        </w:numPr>
      </w:pPr>
      <w:r>
        <w:t xml:space="preserve">Order to pay</w:t>
      </w:r>
    </w:p>
    <w:p>
      <w:pPr>
        <w:pStyle w:val="Compact"/>
        <w:numPr>
          <w:ilvl w:val="1"/>
          <w:numId w:val="1067"/>
        </w:numPr>
      </w:pPr>
      <w:r>
        <w:t xml:space="preserve">Can be:</w:t>
      </w:r>
    </w:p>
    <w:p>
      <w:pPr>
        <w:pStyle w:val="Compact"/>
        <w:numPr>
          <w:ilvl w:val="2"/>
          <w:numId w:val="1068"/>
        </w:numPr>
      </w:pPr>
      <w:r>
        <w:t xml:space="preserve">Sight draft (immediate)</w:t>
      </w:r>
    </w:p>
    <w:p>
      <w:pPr>
        <w:pStyle w:val="Compact"/>
        <w:numPr>
          <w:ilvl w:val="2"/>
          <w:numId w:val="1068"/>
        </w:numPr>
      </w:pPr>
      <w:r>
        <w:t xml:space="preserve">Time draft (delayed)</w:t>
      </w:r>
    </w:p>
    <w:p>
      <w:pPr>
        <w:pStyle w:val="Compact"/>
        <w:numPr>
          <w:ilvl w:val="0"/>
          <w:numId w:val="1065"/>
        </w:numPr>
      </w:pPr>
      <w:r>
        <w:rPr>
          <w:b/>
          <w:bCs/>
        </w:rPr>
        <w:t xml:space="preserve">Bill of Lading (B/L)</w:t>
      </w:r>
    </w:p>
    <w:p>
      <w:pPr>
        <w:pStyle w:val="Compact"/>
        <w:numPr>
          <w:ilvl w:val="1"/>
          <w:numId w:val="1069"/>
        </w:numPr>
      </w:pPr>
      <w:r>
        <w:t xml:space="preserve">Receipt</w:t>
      </w:r>
    </w:p>
    <w:p>
      <w:pPr>
        <w:pStyle w:val="Compact"/>
        <w:numPr>
          <w:ilvl w:val="1"/>
          <w:numId w:val="1069"/>
        </w:numPr>
      </w:pPr>
      <w:r>
        <w:t xml:space="preserve">Contract</w:t>
      </w:r>
    </w:p>
    <w:p>
      <w:pPr>
        <w:pStyle w:val="Compact"/>
        <w:numPr>
          <w:ilvl w:val="1"/>
          <w:numId w:val="1069"/>
        </w:numPr>
      </w:pPr>
      <w:r>
        <w:t xml:space="preserve">Document of title</w:t>
      </w:r>
    </w:p>
    <w:p>
      <w:pPr>
        <w:pStyle w:val="FirstParagraph"/>
      </w:pPr>
      <w:r>
        <w:rPr>
          <w:b/>
          <w:bCs/>
        </w:rPr>
        <w:t xml:space="preserve">Key Insight:</w:t>
      </w:r>
      <w:r>
        <w:t xml:space="preserve"> </w:t>
      </w:r>
      <w:r>
        <w:t xml:space="preserve">- Payment is made based on</w:t>
      </w:r>
      <w:r>
        <w:t xml:space="preserve"> </w:t>
      </w:r>
      <w:r>
        <w:rPr>
          <w:b/>
          <w:bCs/>
        </w:rPr>
        <w:t xml:space="preserve">documents, not physical goods</w:t>
      </w:r>
    </w:p>
    <w:p>
      <w:r>
        <w:pict>
          <v:rect style="width:0;height:1.5pt" o:hralign="center" o:hrstd="t" o:hr="t"/>
        </w:pict>
      </w:r>
    </w:p>
    <w:bookmarkEnd w:id="76"/>
    <w:bookmarkStart w:id="77" w:name="letter-of-credit-lc-1"/>
    <w:p>
      <w:pPr>
        <w:pStyle w:val="Heading3"/>
      </w:pPr>
      <w:r>
        <w:t xml:space="preserve">16.6.5 Letter of Credit (L/C)</w:t>
      </w:r>
    </w:p>
    <w:p>
      <w:pPr>
        <w:pStyle w:val="Compact"/>
        <w:numPr>
          <w:ilvl w:val="0"/>
          <w:numId w:val="1070"/>
        </w:numPr>
      </w:pPr>
      <w:r>
        <w:t xml:space="preserve">Issued by importer’s bank</w:t>
      </w:r>
      <w:r>
        <w:br/>
      </w:r>
    </w:p>
    <w:p>
      <w:pPr>
        <w:pStyle w:val="Compact"/>
        <w:numPr>
          <w:ilvl w:val="0"/>
          <w:numId w:val="1070"/>
        </w:numPr>
      </w:pPr>
      <w:r>
        <w:t xml:space="preserve">Guarantees payment upon proper documentation</w:t>
      </w:r>
    </w:p>
    <w:p>
      <w:pPr>
        <w:pStyle w:val="FirstParagraph"/>
      </w:pPr>
      <w:r>
        <w:rPr>
          <w:b/>
          <w:bCs/>
        </w:rPr>
        <w:t xml:space="preserve">Types:</w:t>
      </w:r>
      <w:r>
        <w:t xml:space="preserve"> </w:t>
      </w:r>
      <w:r>
        <w:t xml:space="preserve">- Irrevocable vs. Revocable</w:t>
      </w:r>
      <w:r>
        <w:br/>
      </w:r>
      <w:r>
        <w:t xml:space="preserve">- Confirmed vs. Unconfirmed</w:t>
      </w:r>
    </w:p>
    <w:p>
      <w:pPr>
        <w:pStyle w:val="BodyText"/>
      </w:pPr>
      <w:r>
        <w:rPr>
          <w:b/>
          <w:bCs/>
        </w:rPr>
        <w:t xml:space="preserve">Advantages:</w:t>
      </w:r>
      <w:r>
        <w:t xml:space="preserve"> </w:t>
      </w:r>
      <w:r>
        <w:t xml:space="preserve">- Reduces risk for exporter</w:t>
      </w:r>
      <w:r>
        <w:br/>
      </w:r>
      <w:r>
        <w:t xml:space="preserve">- Facilitates financing</w:t>
      </w:r>
    </w:p>
    <w:p>
      <w:pPr>
        <w:pStyle w:val="BodyText"/>
      </w:pPr>
      <w:r>
        <w:rPr>
          <w:b/>
          <w:bCs/>
        </w:rPr>
        <w:t xml:space="preserve">Disadvantages:</w:t>
      </w:r>
      <w:r>
        <w:t xml:space="preserve"> </w:t>
      </w:r>
      <w:r>
        <w:t xml:space="preserve">- Costly</w:t>
      </w:r>
      <w:r>
        <w:br/>
      </w:r>
      <w:r>
        <w:t xml:space="preserve">- Can restrict importer’s credit</w:t>
      </w:r>
    </w:p>
    <w:p>
      <w:r>
        <w:pict>
          <v:rect style="width:0;height:1.5pt" o:hralign="center" o:hrstd="t" o:hr="t"/>
        </w:pict>
      </w:r>
    </w:p>
    <w:bookmarkEnd w:id="77"/>
    <w:bookmarkStart w:id="78" w:name="drafts-and-acceptances"/>
    <w:p>
      <w:pPr>
        <w:pStyle w:val="Heading3"/>
      </w:pPr>
      <w:r>
        <w:t xml:space="preserve">16.6.6 Drafts and Acceptances</w:t>
      </w:r>
    </w:p>
    <w:p>
      <w:pPr>
        <w:pStyle w:val="Compact"/>
        <w:numPr>
          <w:ilvl w:val="0"/>
          <w:numId w:val="1071"/>
        </w:numPr>
      </w:pPr>
      <w:r>
        <w:rPr>
          <w:b/>
          <w:bCs/>
        </w:rPr>
        <w:t xml:space="preserve">Draft</w:t>
      </w:r>
      <w:r>
        <w:t xml:space="preserve"> </w:t>
      </w:r>
      <w:r>
        <w:t xml:space="preserve">= formal demand for payment</w:t>
      </w:r>
    </w:p>
    <w:p>
      <w:pPr>
        <w:pStyle w:val="FirstParagraph"/>
      </w:pPr>
      <w:r>
        <w:rPr>
          <w:b/>
          <w:bCs/>
        </w:rPr>
        <w:t xml:space="preserve">Types:</w:t>
      </w:r>
      <w:r>
        <w:t xml:space="preserve"> </w:t>
      </w:r>
      <w:r>
        <w:t xml:space="preserve">- Sight draft → immediate payment</w:t>
      </w:r>
      <w:r>
        <w:br/>
      </w:r>
      <w:r>
        <w:t xml:space="preserve">- Time draft → delayed payment</w:t>
      </w:r>
    </w:p>
    <w:p>
      <w:pPr>
        <w:pStyle w:val="Compact"/>
        <w:numPr>
          <w:ilvl w:val="0"/>
          <w:numId w:val="1072"/>
        </w:numPr>
      </w:pPr>
      <w:r>
        <w:rPr>
          <w:b/>
          <w:bCs/>
        </w:rPr>
        <w:t xml:space="preserve">Banker’s acceptance</w:t>
      </w:r>
    </w:p>
    <w:p>
      <w:pPr>
        <w:pStyle w:val="Compact"/>
        <w:numPr>
          <w:ilvl w:val="1"/>
          <w:numId w:val="1073"/>
        </w:numPr>
      </w:pPr>
      <w:r>
        <w:t xml:space="preserve">Draft accepted by a bank</w:t>
      </w:r>
      <w:r>
        <w:br/>
      </w:r>
    </w:p>
    <w:p>
      <w:pPr>
        <w:pStyle w:val="Compact"/>
        <w:numPr>
          <w:ilvl w:val="1"/>
          <w:numId w:val="1073"/>
        </w:numPr>
      </w:pPr>
      <w:r>
        <w:t xml:space="preserve">Becomes a marketable instrument</w:t>
      </w:r>
    </w:p>
    <w:p>
      <w:pPr>
        <w:pStyle w:val="Compact"/>
        <w:numPr>
          <w:ilvl w:val="0"/>
          <w:numId w:val="1072"/>
        </w:numPr>
      </w:pPr>
      <w:r>
        <w:t xml:space="preserve">Provides:</w:t>
      </w:r>
    </w:p>
    <w:p>
      <w:pPr>
        <w:pStyle w:val="Compact"/>
        <w:numPr>
          <w:ilvl w:val="1"/>
          <w:numId w:val="1074"/>
        </w:numPr>
      </w:pPr>
      <w:r>
        <w:t xml:space="preserve">Liquidity</w:t>
      </w:r>
      <w:r>
        <w:br/>
      </w:r>
    </w:p>
    <w:p>
      <w:pPr>
        <w:pStyle w:val="Compact"/>
        <w:numPr>
          <w:ilvl w:val="1"/>
          <w:numId w:val="1074"/>
        </w:numPr>
      </w:pPr>
      <w:r>
        <w:t xml:space="preserve">Financing flexibility</w:t>
      </w:r>
    </w:p>
    <w:p>
      <w:r>
        <w:pict>
          <v:rect style="width:0;height:1.5pt" o:hralign="center" o:hrstd="t" o:hr="t"/>
        </w:pict>
      </w:r>
    </w:p>
    <w:bookmarkEnd w:id="78"/>
    <w:bookmarkStart w:id="79" w:name="bill-of-lading-bl-1"/>
    <w:p>
      <w:pPr>
        <w:pStyle w:val="Heading3"/>
      </w:pPr>
      <w:r>
        <w:t xml:space="preserve">16.6.7 Bill of Lading (B/L)</w:t>
      </w:r>
    </w:p>
    <w:p>
      <w:pPr>
        <w:pStyle w:val="FirstParagraph"/>
      </w:pPr>
      <w:r>
        <w:t xml:space="preserve">Functions:</w:t>
      </w:r>
    </w:p>
    <w:p>
      <w:pPr>
        <w:pStyle w:val="Compact"/>
        <w:numPr>
          <w:ilvl w:val="0"/>
          <w:numId w:val="1075"/>
        </w:numPr>
      </w:pPr>
      <w:r>
        <w:rPr>
          <w:b/>
          <w:bCs/>
        </w:rPr>
        <w:t xml:space="preserve">Receipt</w:t>
      </w:r>
      <w:r>
        <w:t xml:space="preserve"> </w:t>
      </w:r>
      <w:r>
        <w:t xml:space="preserve">of goods shipped</w:t>
      </w:r>
      <w:r>
        <w:br/>
      </w:r>
    </w:p>
    <w:p>
      <w:pPr>
        <w:pStyle w:val="Compact"/>
        <w:numPr>
          <w:ilvl w:val="0"/>
          <w:numId w:val="1075"/>
        </w:numPr>
      </w:pPr>
      <w:r>
        <w:rPr>
          <w:b/>
          <w:bCs/>
        </w:rPr>
        <w:t xml:space="preserve">Contract</w:t>
      </w:r>
      <w:r>
        <w:t xml:space="preserve"> </w:t>
      </w:r>
      <w:r>
        <w:t xml:space="preserve">of carriage</w:t>
      </w:r>
      <w:r>
        <w:br/>
      </w:r>
    </w:p>
    <w:p>
      <w:pPr>
        <w:pStyle w:val="Compact"/>
        <w:numPr>
          <w:ilvl w:val="0"/>
          <w:numId w:val="1075"/>
        </w:numPr>
      </w:pPr>
      <w:r>
        <w:rPr>
          <w:b/>
          <w:bCs/>
        </w:rPr>
        <w:t xml:space="preserve">Document of title</w:t>
      </w:r>
    </w:p>
    <w:p>
      <w:pPr>
        <w:pStyle w:val="FirstParagraph"/>
      </w:pPr>
      <w:r>
        <w:t xml:space="preserve">Key role:</w:t>
      </w:r>
      <w:r>
        <w:t xml:space="preserve"> </w:t>
      </w:r>
      <w:r>
        <w:t xml:space="preserve">- Controls</w:t>
      </w:r>
      <w:r>
        <w:t xml:space="preserve"> </w:t>
      </w:r>
      <w:r>
        <w:rPr>
          <w:b/>
          <w:bCs/>
        </w:rPr>
        <w:t xml:space="preserve">ownership of goods in transit</w:t>
      </w:r>
    </w:p>
    <w:p>
      <w:r>
        <w:pict>
          <v:rect style="width:0;height:1.5pt" o:hralign="center" o:hrstd="t" o:hr="t"/>
        </w:pict>
      </w:r>
    </w:p>
    <w:bookmarkEnd w:id="79"/>
    <w:bookmarkStart w:id="80" w:name="government-programs"/>
    <w:p>
      <w:pPr>
        <w:pStyle w:val="Heading3"/>
      </w:pPr>
      <w:r>
        <w:t xml:space="preserve">16.6.8 Government Programs</w:t>
      </w:r>
    </w:p>
    <w:p>
      <w:pPr>
        <w:pStyle w:val="FirstParagraph"/>
      </w:pPr>
      <w:r>
        <w:t xml:space="preserve">Governments support exports via:</w:t>
      </w:r>
    </w:p>
    <w:p>
      <w:pPr>
        <w:pStyle w:val="Compact"/>
        <w:numPr>
          <w:ilvl w:val="0"/>
          <w:numId w:val="1076"/>
        </w:numPr>
      </w:pPr>
      <w:r>
        <w:rPr>
          <w:b/>
          <w:bCs/>
        </w:rPr>
        <w:t xml:space="preserve">Export Credit Insurance</w:t>
      </w:r>
    </w:p>
    <w:p>
      <w:pPr>
        <w:pStyle w:val="Compact"/>
        <w:numPr>
          <w:ilvl w:val="1"/>
          <w:numId w:val="1077"/>
        </w:numPr>
      </w:pPr>
      <w:r>
        <w:t xml:space="preserve">Protects against default (commercial + political risk)</w:t>
      </w:r>
    </w:p>
    <w:p>
      <w:pPr>
        <w:pStyle w:val="Compact"/>
        <w:numPr>
          <w:ilvl w:val="0"/>
          <w:numId w:val="1076"/>
        </w:numPr>
      </w:pPr>
      <w:r>
        <w:rPr>
          <w:b/>
          <w:bCs/>
        </w:rPr>
        <w:t xml:space="preserve">Export-Import Bank (Eximbank)</w:t>
      </w:r>
    </w:p>
    <w:p>
      <w:pPr>
        <w:pStyle w:val="Compact"/>
        <w:numPr>
          <w:ilvl w:val="1"/>
          <w:numId w:val="1078"/>
        </w:numPr>
      </w:pPr>
      <w:r>
        <w:t xml:space="preserve">Provides loans, guarantees, and financing support</w:t>
      </w:r>
    </w:p>
    <w:p>
      <w:pPr>
        <w:pStyle w:val="FirstParagraph"/>
      </w:pPr>
      <w:r>
        <w:t xml:space="preserve">Purpose:</w:t>
      </w:r>
      <w:r>
        <w:t xml:space="preserve"> </w:t>
      </w:r>
      <w:r>
        <w:t xml:space="preserve">- Increase exports</w:t>
      </w:r>
      <w:r>
        <w:br/>
      </w:r>
      <w:r>
        <w:t xml:space="preserve">- Enhance national competitiveness</w:t>
      </w:r>
    </w:p>
    <w:p>
      <w:r>
        <w:pict>
          <v:rect style="width:0;height:1.5pt" o:hralign="center" o:hrstd="t" o:hr="t"/>
        </w:pict>
      </w:r>
    </w:p>
    <w:bookmarkEnd w:id="80"/>
    <w:bookmarkStart w:id="81" w:name="trade-financing-alternatives-1"/>
    <w:p>
      <w:pPr>
        <w:pStyle w:val="Heading3"/>
      </w:pPr>
      <w:r>
        <w:t xml:space="preserve">16.6.9 Trade Financing Alternatives</w:t>
      </w:r>
    </w:p>
    <w:p>
      <w:pPr>
        <w:pStyle w:val="FirstParagraph"/>
      </w:pPr>
      <w:r>
        <w:t xml:space="preserve">Short-term financing instruments:</w:t>
      </w:r>
    </w:p>
    <w:p>
      <w:pPr>
        <w:pStyle w:val="Compact"/>
        <w:numPr>
          <w:ilvl w:val="0"/>
          <w:numId w:val="1079"/>
        </w:numPr>
      </w:pPr>
      <w:r>
        <w:t xml:space="preserve">Bankers’ acceptances</w:t>
      </w:r>
      <w:r>
        <w:br/>
      </w:r>
    </w:p>
    <w:p>
      <w:pPr>
        <w:pStyle w:val="Compact"/>
        <w:numPr>
          <w:ilvl w:val="0"/>
          <w:numId w:val="1079"/>
        </w:numPr>
      </w:pPr>
      <w:r>
        <w:t xml:space="preserve">Trade acceptances</w:t>
      </w:r>
      <w:r>
        <w:br/>
      </w:r>
    </w:p>
    <w:p>
      <w:pPr>
        <w:pStyle w:val="Compact"/>
        <w:numPr>
          <w:ilvl w:val="0"/>
          <w:numId w:val="1079"/>
        </w:numPr>
      </w:pPr>
      <w:r>
        <w:t xml:space="preserve">Factoring</w:t>
      </w:r>
      <w:r>
        <w:br/>
      </w:r>
    </w:p>
    <w:p>
      <w:pPr>
        <w:pStyle w:val="Compact"/>
        <w:numPr>
          <w:ilvl w:val="0"/>
          <w:numId w:val="1079"/>
        </w:numPr>
      </w:pPr>
      <w:r>
        <w:t xml:space="preserve">Securitization</w:t>
      </w:r>
      <w:r>
        <w:br/>
      </w:r>
    </w:p>
    <w:p>
      <w:pPr>
        <w:pStyle w:val="Compact"/>
        <w:numPr>
          <w:ilvl w:val="0"/>
          <w:numId w:val="1079"/>
        </w:numPr>
      </w:pPr>
      <w:r>
        <w:t xml:space="preserve">Bank credit lines</w:t>
      </w:r>
      <w:r>
        <w:br/>
      </w:r>
    </w:p>
    <w:p>
      <w:pPr>
        <w:pStyle w:val="Compact"/>
        <w:numPr>
          <w:ilvl w:val="0"/>
          <w:numId w:val="1079"/>
        </w:numPr>
      </w:pPr>
      <w:r>
        <w:t xml:space="preserve">Commercial paper</w:t>
      </w:r>
    </w:p>
    <w:p>
      <w:pPr>
        <w:pStyle w:val="FirstParagraph"/>
      </w:pPr>
      <w:r>
        <w:rPr>
          <w:b/>
          <w:bCs/>
        </w:rPr>
        <w:t xml:space="preserve">Trade-offs:</w:t>
      </w:r>
      <w:r>
        <w:t xml:space="preserve"> </w:t>
      </w:r>
      <w:r>
        <w:t xml:space="preserve">- Cost vs. risk reduction</w:t>
      </w:r>
      <w:r>
        <w:br/>
      </w:r>
      <w:r>
        <w:t xml:space="preserve">- Liquidity vs. control</w:t>
      </w:r>
      <w:r>
        <w:br/>
      </w:r>
      <w:r>
        <w:t xml:space="preserve">- Balance sheet impact</w:t>
      </w:r>
    </w:p>
    <w:p>
      <w:r>
        <w:pict>
          <v:rect style="width:0;height:1.5pt" o:hralign="center" o:hrstd="t" o:hr="t"/>
        </w:pict>
      </w:r>
    </w:p>
    <w:bookmarkEnd w:id="81"/>
    <w:bookmarkStart w:id="82" w:name="forfaiting-1"/>
    <w:p>
      <w:pPr>
        <w:pStyle w:val="Heading3"/>
      </w:pPr>
      <w:r>
        <w:t xml:space="preserve">16.6.10 Forfaiting</w:t>
      </w:r>
    </w:p>
    <w:p>
      <w:pPr>
        <w:pStyle w:val="Compact"/>
        <w:numPr>
          <w:ilvl w:val="0"/>
          <w:numId w:val="1080"/>
        </w:numPr>
      </w:pPr>
      <w:r>
        <w:t xml:space="preserve">Medium- to long-term financing technique</w:t>
      </w:r>
    </w:p>
    <w:p>
      <w:pPr>
        <w:pStyle w:val="FirstParagraph"/>
      </w:pPr>
      <w:r>
        <w:rPr>
          <w:b/>
          <w:bCs/>
        </w:rPr>
        <w:t xml:space="preserve">Key features:</w:t>
      </w:r>
      <w:r>
        <w:t xml:space="preserve"> </w:t>
      </w:r>
      <w:r>
        <w:t xml:space="preserve">- Exporter sells receivables</w:t>
      </w:r>
      <w:r>
        <w:t xml:space="preserve"> </w:t>
      </w:r>
      <w:r>
        <w:rPr>
          <w:b/>
          <w:bCs/>
        </w:rPr>
        <w:t xml:space="preserve">without recourse</w:t>
      </w:r>
      <w:r>
        <w:br/>
      </w:r>
      <w:r>
        <w:t xml:space="preserve">- Receivables are</w:t>
      </w:r>
      <w:r>
        <w:t xml:space="preserve"> </w:t>
      </w:r>
      <w:r>
        <w:rPr>
          <w:b/>
          <w:bCs/>
        </w:rPr>
        <w:t xml:space="preserve">bank-guaranteed</w:t>
      </w:r>
      <w:r>
        <w:br/>
      </w:r>
      <w:r>
        <w:t xml:space="preserve">- Exporter receives immediate cash</w:t>
      </w:r>
    </w:p>
    <w:p>
      <w:pPr>
        <w:pStyle w:val="BodyText"/>
      </w:pPr>
      <w:r>
        <w:rPr>
          <w:b/>
          <w:bCs/>
        </w:rPr>
        <w:t xml:space="preserve">Benefits:</w:t>
      </w:r>
      <w:r>
        <w:t xml:space="preserve"> </w:t>
      </w:r>
      <w:r>
        <w:t xml:space="preserve">- Eliminates credit and political risk</w:t>
      </w:r>
      <w:r>
        <w:br/>
      </w:r>
      <w:r>
        <w:t xml:space="preserve">- Improves cash flow</w:t>
      </w:r>
    </w:p>
    <w:p>
      <w:pPr>
        <w:pStyle w:val="BodyText"/>
      </w:pPr>
      <w:r>
        <w:rPr>
          <w:b/>
          <w:bCs/>
        </w:rPr>
        <w:t xml:space="preserve">Costs:</w:t>
      </w:r>
      <w:r>
        <w:t xml:space="preserve"> </w:t>
      </w:r>
      <w:r>
        <w:t xml:space="preserve">- Higher financing cost</w:t>
      </w:r>
    </w:p>
    <w:p>
      <w:r>
        <w:pict>
          <v:rect style="width:0;height:1.5pt" o:hralign="center" o:hrstd="t" o:hr="t"/>
        </w:pict>
      </w:r>
    </w:p>
    <w:bookmarkEnd w:id="82"/>
    <w:bookmarkStart w:id="83" w:name="integrated-view-of-trade-finance"/>
    <w:p>
      <w:pPr>
        <w:pStyle w:val="Heading3"/>
      </w:pPr>
      <w:r>
        <w:t xml:space="preserve">16.6.11 Integrated View of Trade Finance</w:t>
      </w:r>
    </w:p>
    <w:p>
      <w:pPr>
        <w:pStyle w:val="FirstParagraph"/>
      </w:pPr>
      <w:r>
        <w:t xml:space="preserve">International trade finance:</w:t>
      </w:r>
    </w:p>
    <w:p>
      <w:pPr>
        <w:pStyle w:val="Compact"/>
        <w:numPr>
          <w:ilvl w:val="0"/>
          <w:numId w:val="1081"/>
        </w:numPr>
      </w:pPr>
      <w:r>
        <w:t xml:space="preserve">Bridges the gap between</w:t>
      </w:r>
      <w:r>
        <w:t xml:space="preserve"> </w:t>
      </w:r>
      <w:r>
        <w:rPr>
          <w:b/>
          <w:bCs/>
        </w:rPr>
        <w:t xml:space="preserve">shipment and payment</w:t>
      </w:r>
      <w:r>
        <w:br/>
      </w:r>
    </w:p>
    <w:p>
      <w:pPr>
        <w:pStyle w:val="Compact"/>
        <w:numPr>
          <w:ilvl w:val="0"/>
          <w:numId w:val="1081"/>
        </w:numPr>
      </w:pPr>
      <w:r>
        <w:t xml:space="preserve">Transfers risk to</w:t>
      </w:r>
      <w:r>
        <w:t xml:space="preserve"> </w:t>
      </w:r>
      <w:r>
        <w:rPr>
          <w:b/>
          <w:bCs/>
        </w:rPr>
        <w:t xml:space="preserve">financial institutions</w:t>
      </w:r>
      <w:r>
        <w:br/>
      </w:r>
    </w:p>
    <w:p>
      <w:pPr>
        <w:pStyle w:val="Compact"/>
        <w:numPr>
          <w:ilvl w:val="0"/>
          <w:numId w:val="1081"/>
        </w:numPr>
      </w:pPr>
      <w:r>
        <w:t xml:space="preserve">Converts receivables into</w:t>
      </w:r>
      <w:r>
        <w:t xml:space="preserve"> </w:t>
      </w:r>
      <w:r>
        <w:rPr>
          <w:b/>
          <w:bCs/>
        </w:rPr>
        <w:t xml:space="preserve">liquid assets</w:t>
      </w:r>
    </w:p>
    <w:p>
      <w:pPr>
        <w:pStyle w:val="FirstParagraph"/>
      </w:pPr>
      <w:r>
        <w:rPr>
          <w:b/>
          <w:bCs/>
        </w:rPr>
        <w:t xml:space="preserve">Core Principle:</w:t>
      </w:r>
      <w:r>
        <w:t xml:space="preserve"> </w:t>
      </w:r>
      <w:r>
        <w:t xml:space="preserve">- Trade finance transforms</w:t>
      </w:r>
      <w:r>
        <w:t xml:space="preserve"> </w:t>
      </w:r>
      <w:r>
        <w:rPr>
          <w:b/>
          <w:bCs/>
        </w:rPr>
        <w:t xml:space="preserve">uncertain global transactions</w:t>
      </w:r>
      <w:r>
        <w:t xml:space="preserve"> </w:t>
      </w:r>
      <w:r>
        <w:t xml:space="preserve">into</w:t>
      </w:r>
      <w:r>
        <w:t xml:space="preserve"> </w:t>
      </w:r>
      <w:r>
        <w:rPr>
          <w:b/>
          <w:bCs/>
        </w:rPr>
        <w:t xml:space="preserve">structured financial flows</w:t>
      </w:r>
    </w:p>
    <w:p>
      <w:r>
        <w:pict>
          <v:rect style="width:0;height:1.5pt" o:hralign="center" o:hrstd="t" o:hr="t"/>
        </w:pict>
      </w:r>
    </w:p>
    <w:bookmarkEnd w:id="83"/>
    <w:bookmarkStart w:id="84" w:name="key-terms"/>
    <w:p>
      <w:pPr>
        <w:pStyle w:val="Heading3"/>
      </w:pPr>
      <w:r>
        <w:t xml:space="preserve">16.6.12 Key Terms</w:t>
      </w:r>
    </w:p>
    <w:p>
      <w:pPr>
        <w:pStyle w:val="Compact"/>
        <w:numPr>
          <w:ilvl w:val="0"/>
          <w:numId w:val="1082"/>
        </w:numPr>
      </w:pPr>
      <w:r>
        <w:t xml:space="preserve">Letter of Credit (L/C)</w:t>
      </w:r>
      <w:r>
        <w:br/>
      </w:r>
    </w:p>
    <w:p>
      <w:pPr>
        <w:pStyle w:val="Compact"/>
        <w:numPr>
          <w:ilvl w:val="0"/>
          <w:numId w:val="1082"/>
        </w:numPr>
      </w:pPr>
      <w:r>
        <w:t xml:space="preserve">Draft (Bill of Exchange)</w:t>
      </w:r>
      <w:r>
        <w:br/>
      </w:r>
    </w:p>
    <w:p>
      <w:pPr>
        <w:pStyle w:val="Compact"/>
        <w:numPr>
          <w:ilvl w:val="0"/>
          <w:numId w:val="1082"/>
        </w:numPr>
      </w:pPr>
      <w:r>
        <w:t xml:space="preserve">Sight Draft</w:t>
      </w:r>
      <w:r>
        <w:br/>
      </w:r>
    </w:p>
    <w:p>
      <w:pPr>
        <w:pStyle w:val="Compact"/>
        <w:numPr>
          <w:ilvl w:val="0"/>
          <w:numId w:val="1082"/>
        </w:numPr>
      </w:pPr>
      <w:r>
        <w:t xml:space="preserve">Time Draft</w:t>
      </w:r>
      <w:r>
        <w:br/>
      </w:r>
    </w:p>
    <w:p>
      <w:pPr>
        <w:pStyle w:val="Compact"/>
        <w:numPr>
          <w:ilvl w:val="0"/>
          <w:numId w:val="1082"/>
        </w:numPr>
      </w:pPr>
      <w:r>
        <w:t xml:space="preserve">Banker’s Acceptance</w:t>
      </w:r>
      <w:r>
        <w:br/>
      </w:r>
    </w:p>
    <w:p>
      <w:pPr>
        <w:pStyle w:val="Compact"/>
        <w:numPr>
          <w:ilvl w:val="0"/>
          <w:numId w:val="1082"/>
        </w:numPr>
      </w:pPr>
      <w:r>
        <w:t xml:space="preserve">Bill of Lading (B/L)</w:t>
      </w:r>
      <w:r>
        <w:br/>
      </w:r>
    </w:p>
    <w:p>
      <w:pPr>
        <w:pStyle w:val="Compact"/>
        <w:numPr>
          <w:ilvl w:val="0"/>
          <w:numId w:val="1082"/>
        </w:numPr>
      </w:pPr>
      <w:r>
        <w:t xml:space="preserve">Export Credit Insurance</w:t>
      </w:r>
      <w:r>
        <w:br/>
      </w:r>
    </w:p>
    <w:p>
      <w:pPr>
        <w:pStyle w:val="Compact"/>
        <w:numPr>
          <w:ilvl w:val="0"/>
          <w:numId w:val="1082"/>
        </w:numPr>
      </w:pPr>
      <w:r>
        <w:t xml:space="preserve">Export-Import Bank (Eximbank)</w:t>
      </w:r>
      <w:r>
        <w:br/>
      </w:r>
    </w:p>
    <w:p>
      <w:pPr>
        <w:pStyle w:val="Compact"/>
        <w:numPr>
          <w:ilvl w:val="0"/>
          <w:numId w:val="1082"/>
        </w:numPr>
      </w:pPr>
      <w:r>
        <w:t xml:space="preserve">Factoring</w:t>
      </w:r>
      <w:r>
        <w:br/>
      </w:r>
    </w:p>
    <w:p>
      <w:pPr>
        <w:pStyle w:val="Compact"/>
        <w:numPr>
          <w:ilvl w:val="0"/>
          <w:numId w:val="1082"/>
        </w:numPr>
      </w:pPr>
      <w:r>
        <w:t xml:space="preserve">Securitization</w:t>
      </w:r>
      <w:r>
        <w:br/>
      </w:r>
    </w:p>
    <w:p>
      <w:pPr>
        <w:pStyle w:val="Compact"/>
        <w:numPr>
          <w:ilvl w:val="0"/>
          <w:numId w:val="1082"/>
        </w:numPr>
      </w:pPr>
      <w:r>
        <w:t xml:space="preserve">Forfaiting</w:t>
      </w:r>
      <w:r>
        <w:br/>
      </w:r>
    </w:p>
    <w:p>
      <w:pPr>
        <w:pStyle w:val="Compact"/>
        <w:numPr>
          <w:ilvl w:val="0"/>
          <w:numId w:val="1082"/>
        </w:numPr>
      </w:pPr>
      <w:r>
        <w:t xml:space="preserve">Aval</w:t>
      </w:r>
    </w:p>
    <w:p>
      <w:r>
        <w:pict>
          <v:rect style="width:0;height:1.5pt" o:hralign="center" o:hrstd="t" o:hr="t"/>
        </w:pict>
      </w:r>
    </w:p>
    <w:bookmarkEnd w:id="84"/>
    <w:bookmarkStart w:id="85" w:name="final-takeaway"/>
    <w:p>
      <w:pPr>
        <w:pStyle w:val="Heading3"/>
      </w:pPr>
      <w:r>
        <w:t xml:space="preserve">16.6.13 Final Takeaway</w:t>
      </w:r>
    </w:p>
    <w:p>
      <w:pPr>
        <w:pStyle w:val="Compact"/>
        <w:numPr>
          <w:ilvl w:val="0"/>
          <w:numId w:val="1083"/>
        </w:numPr>
      </w:pPr>
      <w:r>
        <w:t xml:space="preserve">International trade finance is fundamentally about:</w:t>
      </w:r>
    </w:p>
    <w:p>
      <w:pPr>
        <w:pStyle w:val="Compact"/>
        <w:numPr>
          <w:ilvl w:val="1"/>
          <w:numId w:val="1084"/>
        </w:numPr>
      </w:pPr>
      <w:r>
        <w:rPr>
          <w:b/>
          <w:bCs/>
        </w:rPr>
        <w:t xml:space="preserve">Managing risk</w:t>
      </w:r>
    </w:p>
    <w:p>
      <w:pPr>
        <w:pStyle w:val="Compact"/>
        <w:numPr>
          <w:ilvl w:val="1"/>
          <w:numId w:val="1084"/>
        </w:numPr>
      </w:pPr>
      <w:r>
        <w:rPr>
          <w:b/>
          <w:bCs/>
        </w:rPr>
        <w:t xml:space="preserve">Ensuring payment</w:t>
      </w:r>
    </w:p>
    <w:p>
      <w:pPr>
        <w:pStyle w:val="Compact"/>
        <w:numPr>
          <w:ilvl w:val="1"/>
          <w:numId w:val="1084"/>
        </w:numPr>
      </w:pPr>
      <w:r>
        <w:rPr>
          <w:b/>
          <w:bCs/>
        </w:rPr>
        <w:t xml:space="preserve">Financing time gaps in trade</w:t>
      </w:r>
    </w:p>
    <w:p>
      <w:pPr>
        <w:pStyle w:val="Compact"/>
        <w:numPr>
          <w:ilvl w:val="0"/>
          <w:numId w:val="1083"/>
        </w:numPr>
      </w:pPr>
      <w:r>
        <w:t xml:space="preserve">The system works because:</w:t>
      </w:r>
    </w:p>
    <w:p>
      <w:pPr>
        <w:pStyle w:val="Compact"/>
        <w:numPr>
          <w:ilvl w:val="1"/>
          <w:numId w:val="1085"/>
        </w:numPr>
      </w:pPr>
      <w:r>
        <w:t xml:space="preserve">Banks provide</w:t>
      </w:r>
      <w:r>
        <w:t xml:space="preserve"> </w:t>
      </w:r>
      <w:r>
        <w:rPr>
          <w:b/>
          <w:bCs/>
        </w:rPr>
        <w:t xml:space="preserve">credibility</w:t>
      </w:r>
    </w:p>
    <w:p>
      <w:pPr>
        <w:pStyle w:val="Compact"/>
        <w:numPr>
          <w:ilvl w:val="1"/>
          <w:numId w:val="1085"/>
        </w:numPr>
      </w:pPr>
      <w:r>
        <w:t xml:space="preserve">Documents provide</w:t>
      </w:r>
      <w:r>
        <w:t xml:space="preserve"> </w:t>
      </w:r>
      <w:r>
        <w:rPr>
          <w:b/>
          <w:bCs/>
        </w:rPr>
        <w:t xml:space="preserve">control</w:t>
      </w:r>
    </w:p>
    <w:p>
      <w:pPr>
        <w:pStyle w:val="Compact"/>
        <w:numPr>
          <w:ilvl w:val="1"/>
          <w:numId w:val="1085"/>
        </w:numPr>
      </w:pPr>
      <w:r>
        <w:t xml:space="preserve">Markets provide</w:t>
      </w:r>
      <w:r>
        <w:t xml:space="preserve"> </w:t>
      </w:r>
      <w:r>
        <w:rPr>
          <w:b/>
          <w:bCs/>
        </w:rPr>
        <w:t xml:space="preserve">liquidity</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48" Target="media/rId48.jpg"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2026-04-24T03:03:12Z</dcterms:created>
  <dcterms:modified xsi:type="dcterms:W3CDTF">2026-04-24T03:03:12Z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