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2026-02-06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t xml:space="preserve">Option 1 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t xml:space="preserve">Option 2 relies on some other country wanting US dollars. Regardless of who holds them, some other country ends up holding USD.</w:t>
      </w:r>
    </w:p>
    <w:p>
      <w:pPr>
        <w:pStyle w:val="BodyText"/>
      </w:pPr>
      <w:r>
        <w:t xml:space="preserve">Option 3 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Compact"/>
        <w:numPr>
          <w:ilvl w:val="0"/>
          <w:numId w:val="1025"/>
        </w:numPr>
      </w:pPr>
      <w:r>
        <w:t xml:space="preserve">A deficit implies net demand for foreign currency (net supply of domestic currency).</w:t>
      </w:r>
    </w:p>
    <w:p>
      <w:pPr>
        <w:pStyle w:val="Compact"/>
        <w:numPr>
          <w:ilvl w:val="0"/>
          <w:numId w:val="1025"/>
        </w:numPr>
      </w:pPr>
      <w:r>
        <w:t xml:space="preserve">A surplus implies net demand for domestic currency (net supply of foreign currency).</w:t>
      </w:r>
    </w:p>
    <w:p>
      <w:pPr>
        <w:pStyle w:val="FirstParagraph"/>
      </w:pPr>
      <w:r>
        <w:t xml:space="preserve">How that pressure translates into outcomes depends on the regime.</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6"/>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6"/>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7"/>
        </w:numPr>
      </w:pPr>
      <w:r>
        <w:t xml:space="preserve">The exchange rate adjusts to equilibrate supply/demand in FX markets.</w:t>
      </w:r>
    </w:p>
    <w:p>
      <w:pPr>
        <w:pStyle w:val="Compact"/>
        <w:numPr>
          <w:ilvl w:val="0"/>
          <w:numId w:val="1027"/>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8"/>
        </w:numPr>
      </w:pPr>
      <w:r>
        <w:t xml:space="preserve">Authorities allow some movement but intervene to limit volatility or steer competitiveness.</w:t>
      </w:r>
    </w:p>
    <w:p>
      <w:pPr>
        <w:pStyle w:val="Compact"/>
        <w:numPr>
          <w:ilvl w:val="0"/>
          <w:numId w:val="1028"/>
        </w:numPr>
      </w:pPr>
      <w:r>
        <w:t xml:space="preserve">Reserve accumulation (or depletion) is common.</w:t>
      </w:r>
    </w:p>
    <w:p>
      <w:pPr>
        <w:pStyle w:val="Compact"/>
        <w:numPr>
          <w:ilvl w:val="0"/>
          <w:numId w:val="1028"/>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29"/>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29"/>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0"/>
        </w:numPr>
      </w:pPr>
      <w:r>
        <w:t xml:space="preserve">Cheaper imports can restrain domestic pricing power → lower inflation.</w:t>
      </w:r>
    </w:p>
    <w:p>
      <w:pPr>
        <w:pStyle w:val="Compact"/>
        <w:numPr>
          <w:ilvl w:val="0"/>
          <w:numId w:val="1030"/>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1"/>
        </w:numPr>
      </w:pPr>
      <w:r>
        <w:t xml:space="preserve">Imports</w:t>
      </w:r>
      <w:r>
        <w:t xml:space="preserve"> </w:t>
      </w:r>
      <w:r>
        <w:rPr>
          <w:b/>
          <w:bCs/>
        </w:rPr>
        <w:t xml:space="preserve">more expensive</w:t>
      </w:r>
      <w:r>
        <w:t xml:space="preserve"> </w:t>
      </w:r>
      <w:r>
        <w:t xml:space="preserve">in domestic currency</w:t>
      </w:r>
    </w:p>
    <w:p>
      <w:pPr>
        <w:pStyle w:val="Compact"/>
        <w:numPr>
          <w:ilvl w:val="0"/>
          <w:numId w:val="1031"/>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2"/>
        </w:numPr>
      </w:pPr>
      <w:r>
        <w:rPr>
          <w:b/>
          <w:bCs/>
        </w:rPr>
        <w:t xml:space="preserve">Currency contract period</w:t>
      </w:r>
      <w:r>
        <w:t xml:space="preserve"> </w:t>
      </w:r>
      <w:r>
        <w:t xml:space="preserve">(contracts already set; quantities fixed)</w:t>
      </w:r>
      <w:r>
        <w:br/>
      </w:r>
    </w:p>
    <w:p>
      <w:pPr>
        <w:pStyle w:val="Compact"/>
        <w:numPr>
          <w:ilvl w:val="0"/>
          <w:numId w:val="1032"/>
        </w:numPr>
      </w:pPr>
      <w:r>
        <w:rPr>
          <w:b/>
          <w:bCs/>
        </w:rPr>
        <w:t xml:space="preserve">Pass-through period</w:t>
      </w:r>
      <w:r>
        <w:t xml:space="preserve"> </w:t>
      </w:r>
      <w:r>
        <w:t xml:space="preserve">(exchange-rate change passes into import/export prices)</w:t>
      </w:r>
      <w:r>
        <w:br/>
      </w:r>
    </w:p>
    <w:p>
      <w:pPr>
        <w:pStyle w:val="Compact"/>
        <w:numPr>
          <w:ilvl w:val="0"/>
          <w:numId w:val="1032"/>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3"/>
        </w:numPr>
      </w:pPr>
      <m:oMath>
        <m:sSubSup>
          <m:e>
            <m:r>
              <m:t>P</m:t>
            </m:r>
          </m:e>
          <m:sub>
            <m:r>
              <m:t>X</m:t>
            </m:r>
          </m:sub>
          <m:sup>
            <m:r>
              <m:rPr>
                <m:nor/>
                <m:sty m:val="p"/>
              </m:rPr>
              <m:t>$</m:t>
            </m:r>
          </m:sup>
        </m:sSubSup>
      </m:oMath>
      <w:r>
        <w:t xml:space="preserve">: export price in domestic currency</w:t>
      </w:r>
      <w:r>
        <w:br/>
      </w:r>
    </w:p>
    <w:p>
      <w:pPr>
        <w:pStyle w:val="Compact"/>
        <w:numPr>
          <w:ilvl w:val="0"/>
          <w:numId w:val="1033"/>
        </w:numPr>
      </w:pPr>
      <m:oMath>
        <m:sSub>
          <m:e>
            <m:r>
              <m:t>Q</m:t>
            </m:r>
          </m:e>
          <m:sub>
            <m:r>
              <m:t>X</m:t>
            </m:r>
          </m:sub>
        </m:sSub>
      </m:oMath>
      <w:r>
        <w:t xml:space="preserve">: export quantity</w:t>
      </w:r>
      <w:r>
        <w:br/>
      </w:r>
    </w:p>
    <w:p>
      <w:pPr>
        <w:pStyle w:val="Compact"/>
        <w:numPr>
          <w:ilvl w:val="0"/>
          <w:numId w:val="1033"/>
        </w:numPr>
      </w:pPr>
      <m:oMath>
        <m:sSubSup>
          <m:e>
            <m:r>
              <m:t>P</m:t>
            </m:r>
          </m:e>
          <m:sub>
            <m:r>
              <m:t>M</m:t>
            </m:r>
          </m:sub>
          <m:sup>
            <m:r>
              <m:t>f</m:t>
            </m:r>
            <m:r>
              <m:t>c</m:t>
            </m:r>
          </m:sup>
        </m:sSubSup>
      </m:oMath>
      <w:r>
        <w:t xml:space="preserve">: import price in foreign currency</w:t>
      </w:r>
      <w:r>
        <w:br/>
      </w:r>
    </w:p>
    <w:p>
      <w:pPr>
        <w:pStyle w:val="Compact"/>
        <w:numPr>
          <w:ilvl w:val="0"/>
          <w:numId w:val="1033"/>
        </w:numPr>
      </w:pPr>
      <m:oMath>
        <m:sSub>
          <m:e>
            <m:r>
              <m:t>Q</m:t>
            </m:r>
          </m:e>
          <m:sub>
            <m:r>
              <m:t>M</m:t>
            </m:r>
          </m:sub>
        </m:sSub>
      </m:oMath>
      <w:r>
        <w:t xml:space="preserve">: import quantity</w:t>
      </w:r>
      <w:r>
        <w:br/>
      </w:r>
    </w:p>
    <w:p>
      <w:pPr>
        <w:pStyle w:val="Compact"/>
        <w:numPr>
          <w:ilvl w:val="0"/>
          <w:numId w:val="1033"/>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4"/>
        </w:numPr>
      </w:pPr>
      <w:r>
        <w:rPr>
          <w:b/>
          <w:bCs/>
        </w:rPr>
        <w:t xml:space="preserve">Trade/real-side:</w:t>
      </w:r>
      <w:r>
        <w:t xml:space="preserve"> </w:t>
      </w:r>
      <w:r>
        <w:t xml:space="preserve">current account reflects saving vs investment and trade competitiveness.</w:t>
      </w:r>
    </w:p>
    <w:p>
      <w:pPr>
        <w:pStyle w:val="Compact"/>
        <w:numPr>
          <w:ilvl w:val="0"/>
          <w:numId w:val="1034"/>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5"/>
        </w:numPr>
      </w:pPr>
      <w:r>
        <w:t xml:space="preserve">Gold convertibility underpinned confidence</w:t>
      </w:r>
    </w:p>
    <w:p>
      <w:pPr>
        <w:pStyle w:val="Compact"/>
        <w:numPr>
          <w:ilvl w:val="0"/>
          <w:numId w:val="1035"/>
        </w:numPr>
      </w:pPr>
      <w:r>
        <w:t xml:space="preserve">Capital mobility rose alongside trade expansion</w:t>
      </w:r>
    </w:p>
    <w:p>
      <w:pPr>
        <w:pStyle w:val="Compact"/>
        <w:numPr>
          <w:ilvl w:val="0"/>
          <w:numId w:val="1035"/>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6"/>
        </w:numPr>
      </w:pPr>
      <w:r>
        <w:t xml:space="preserve">Protectionism, nationalism, and policy instability</w:t>
      </w:r>
    </w:p>
    <w:p>
      <w:pPr>
        <w:pStyle w:val="Compact"/>
        <w:numPr>
          <w:ilvl w:val="0"/>
          <w:numId w:val="1036"/>
        </w:numPr>
      </w:pPr>
      <w:r>
        <w:t xml:space="preserve">Severe restrictions on trade and capital</w:t>
      </w:r>
    </w:p>
    <w:p>
      <w:pPr>
        <w:pStyle w:val="Compact"/>
        <w:numPr>
          <w:ilvl w:val="0"/>
          <w:numId w:val="1036"/>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7"/>
        </w:numPr>
      </w:pPr>
      <w:r>
        <w:t xml:space="preserve">Bretton Woods system supported trade expansion</w:t>
      </w:r>
    </w:p>
    <w:p>
      <w:pPr>
        <w:pStyle w:val="Compact"/>
        <w:numPr>
          <w:ilvl w:val="0"/>
          <w:numId w:val="1037"/>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8"/>
        </w:numPr>
      </w:pPr>
      <w:r>
        <w:t xml:space="preserve">Greater exchange-rate volatility</w:t>
      </w:r>
    </w:p>
    <w:p>
      <w:pPr>
        <w:pStyle w:val="Compact"/>
        <w:numPr>
          <w:ilvl w:val="0"/>
          <w:numId w:val="1038"/>
        </w:numPr>
      </w:pPr>
      <w:r>
        <w:t xml:space="preserve">Rapid growth in cross-border capital flows</w:t>
      </w:r>
    </w:p>
    <w:p>
      <w:pPr>
        <w:pStyle w:val="Compact"/>
        <w:numPr>
          <w:ilvl w:val="0"/>
          <w:numId w:val="1038"/>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39"/>
        </w:numPr>
      </w:pPr>
      <w:r>
        <w:t xml:space="preserve">Emerging markets opened selectively</w:t>
      </w:r>
    </w:p>
    <w:p>
      <w:pPr>
        <w:pStyle w:val="Compact"/>
        <w:numPr>
          <w:ilvl w:val="0"/>
          <w:numId w:val="1039"/>
        </w:numPr>
      </w:pPr>
      <w:r>
        <w:t xml:space="preserve">Crises (1997/98, 2008, and beyond) shaped openness debates</w:t>
      </w:r>
    </w:p>
    <w:p>
      <w:pPr>
        <w:pStyle w:val="Compact"/>
        <w:numPr>
          <w:ilvl w:val="0"/>
          <w:numId w:val="1039"/>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0"/>
        </w:numPr>
      </w:pPr>
      <w:r>
        <w:t xml:space="preserve">Very large gross flows can occur even when net flows are modest.</w:t>
      </w:r>
    </w:p>
    <w:p>
      <w:pPr>
        <w:pStyle w:val="Compact"/>
        <w:numPr>
          <w:ilvl w:val="0"/>
          <w:numId w:val="1040"/>
        </w:numPr>
      </w:pPr>
      <w:r>
        <w:t xml:space="preserve">Financial markets can transmit shocks quickly (contagion).</w:t>
      </w:r>
    </w:p>
    <w:p>
      <w:pPr>
        <w:pStyle w:val="Compact"/>
        <w:numPr>
          <w:ilvl w:val="0"/>
          <w:numId w:val="1040"/>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1"/>
        </w:numPr>
      </w:pPr>
      <w:r>
        <w:rPr>
          <w:b/>
          <w:bCs/>
        </w:rPr>
        <w:t xml:space="preserve">BOP is a cash-flow accounting framework</w:t>
      </w:r>
      <w:r>
        <w:t xml:space="preserve">—it measures international transactions over time.</w:t>
      </w:r>
    </w:p>
    <w:p>
      <w:pPr>
        <w:pStyle w:val="Compact"/>
        <w:numPr>
          <w:ilvl w:val="0"/>
          <w:numId w:val="1041"/>
        </w:numPr>
      </w:pPr>
      <w:r>
        <w:rPr>
          <w:b/>
          <w:bCs/>
        </w:rPr>
        <w:t xml:space="preserve">The BOP must balance</w:t>
      </w:r>
      <w:r>
        <w:t xml:space="preserve"> </w:t>
      </w:r>
      <w:r>
        <w:t xml:space="preserve">(with errors/omissions and reserves), but subaccounts can swing widely.</w:t>
      </w:r>
    </w:p>
    <w:p>
      <w:pPr>
        <w:pStyle w:val="Compact"/>
        <w:numPr>
          <w:ilvl w:val="0"/>
          <w:numId w:val="1041"/>
        </w:numPr>
      </w:pPr>
      <w:r>
        <w:rPr>
          <w:b/>
          <w:bCs/>
        </w:rPr>
        <w:t xml:space="preserve">Current vs financial accounts</w:t>
      </w:r>
      <w:r>
        <w:t xml:space="preserve">: trade/income flows versus asset/claim flows—different drivers, same identity.</w:t>
      </w:r>
    </w:p>
    <w:p>
      <w:pPr>
        <w:pStyle w:val="Compact"/>
        <w:numPr>
          <w:ilvl w:val="0"/>
          <w:numId w:val="1041"/>
        </w:numPr>
      </w:pPr>
      <w:r>
        <w:rPr>
          <w:b/>
          <w:bCs/>
        </w:rPr>
        <w:t xml:space="preserve">Regimes matter</w:t>
      </w:r>
      <w:r>
        <w:t xml:space="preserve">: fixed rates shift adjustment to reserves and policy; floats shift adjustment to the exchange rate.</w:t>
      </w:r>
    </w:p>
    <w:p>
      <w:pPr>
        <w:pStyle w:val="Compact"/>
        <w:numPr>
          <w:ilvl w:val="0"/>
          <w:numId w:val="1041"/>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2"/>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2"/>
        </w:numPr>
      </w:pPr>
      <w:r>
        <w:t xml:space="preserve">What makes portfolio flows more crisis-prone than direct investment?</w:t>
      </w:r>
    </w:p>
    <w:p>
      <w:pPr>
        <w:pStyle w:val="Compact"/>
        <w:numPr>
          <w:ilvl w:val="0"/>
          <w:numId w:val="1042"/>
        </w:numPr>
      </w:pPr>
      <w:r>
        <w:t xml:space="preserve">In a fixed-rate regime, which breaks first in a persistent deficit: domestic interest rates, reserves, or the peg?</w:t>
      </w:r>
    </w:p>
    <w:p>
      <w:pPr>
        <w:pStyle w:val="Compact"/>
        <w:numPr>
          <w:ilvl w:val="0"/>
          <w:numId w:val="1042"/>
        </w:numPr>
      </w:pPr>
      <w:r>
        <w:t xml:space="preserve">When might capital controls be welfare-improving, despite efficiency costs?</w:t>
      </w:r>
    </w:p>
    <w:p>
      <w:pPr>
        <w:pStyle w:val="Compact"/>
        <w:numPr>
          <w:ilvl w:val="0"/>
          <w:numId w:val="1042"/>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2026-02-06T06:20:16Z</dcterms:created>
  <dcterms:modified xsi:type="dcterms:W3CDTF">2026-02-06T06:20:16Z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