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2026-03-31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Over the Counter (OTC) network (in other words, customizable, and not a central exchange).</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67"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Note:</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rPr>
          <w:b/>
          <w:bCs/>
        </w:rPr>
        <w:t xml:space="preserve">Note:</w:t>
      </w:r>
      <w:r>
        <w:t xml:space="preserve"> </w:t>
      </w:r>
      <w:r>
        <w:t xml:space="preserve">London’s role as a global hub reflects time zone overlap, institutional depth, and historical network effects.</w:t>
      </w:r>
    </w:p>
    <w:bookmarkEnd w:id="64"/>
    <w:bookmarkStart w:id="65" w:name="currency-composition"/>
    <w:p>
      <w:pPr>
        <w:pStyle w:val="Heading3"/>
      </w:pPr>
      <w:r>
        <w:t xml:space="preserve">5.3.7 Currency composition</w:t>
      </w:r>
    </w:p>
    <w:p>
      <w:pPr>
        <w:pStyle w:val="FirstParagraph"/>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5"/>
    <w:bookmarkStart w:id="66" w:name="common-misconceptions-1"/>
    <w:p>
      <w:pPr>
        <w:pStyle w:val="Heading3"/>
      </w:pPr>
      <w:r>
        <w:t xml:space="preserve">5.3.8 Common misconceptions</w:t>
      </w:r>
    </w:p>
    <w:p>
      <w:pPr>
        <w:pStyle w:val="Compact"/>
        <w:numPr>
          <w:ilvl w:val="0"/>
          <w:numId w:val="1027"/>
        </w:numPr>
      </w:pPr>
      <w:r>
        <w:rPr>
          <w:b/>
          <w:bCs/>
        </w:rPr>
        <w:t xml:space="preserve">“Spot means instantaneous.”</w:t>
      </w:r>
      <w:r>
        <w:br/>
      </w:r>
      <w:r>
        <w:t xml:space="preserve">In interbank markets it typically settles T+2 (</w:t>
      </w:r>
      <w:r>
        <w:t xml:space="preserve">“by day after tomorrow”</w:t>
      </w:r>
      <w:r>
        <w:t xml:space="preserve">).</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p>
      <w:r>
        <w:pict>
          <v:rect style="width:0;height:1.5pt" o:hralign="center" o:hrstd="t" o:hr="t"/>
        </w:pict>
      </w:r>
    </w:p>
    <w:bookmarkEnd w:id="66"/>
    <w:bookmarkEnd w:id="67"/>
    <w:bookmarkStart w:id="87" w:name="foreign-exchange-rates-and-quotations"/>
    <w:p>
      <w:pPr>
        <w:pStyle w:val="Heading2"/>
      </w:pPr>
      <w:r>
        <w:t xml:space="preserve">5.4 Foreign Exchange Rates and Quotations</w:t>
      </w:r>
    </w:p>
    <w:bookmarkStart w:id="68"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8"/>
        </w:numPr>
      </w:pPr>
      <w:r>
        <w:t xml:space="preserve">ISO codes (USD, GBP, JPY, EUR) are standard for electronic trading.</w:t>
      </w:r>
    </w:p>
    <w:p>
      <w:pPr>
        <w:pStyle w:val="Compact"/>
        <w:numPr>
          <w:ilvl w:val="0"/>
          <w:numId w:val="1028"/>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68"/>
    <w:bookmarkStart w:id="69"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29"/>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29"/>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69"/>
    <w:bookmarkStart w:id="75" w:name="market-conventions"/>
    <w:p>
      <w:pPr>
        <w:pStyle w:val="Heading3"/>
      </w:pPr>
      <w:r>
        <w:t xml:space="preserve">5.4.3 Market conventions</w:t>
      </w:r>
    </w:p>
    <w:p>
      <w:pPr>
        <w:pStyle w:val="FirstParagraph"/>
      </w:pPr>
      <w:r>
        <w:t xml:space="preserve">Different conventions can describe the same economic price.</w:t>
      </w:r>
    </w:p>
    <w:bookmarkStart w:id="70"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0"/>
    <w:bookmarkStart w:id="71"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1"/>
    <w:bookmarkStart w:id="72"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2"/>
    <w:bookmarkStart w:id="73"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0"/>
        </w:numPr>
      </w:pPr>
      <w:r>
        <w:rPr>
          <w:b/>
          <w:bCs/>
        </w:rPr>
        <w:t xml:space="preserve">Direct quote</w:t>
      </w:r>
      <w:r>
        <w:t xml:space="preserve">: home currency price of 1 unit of foreign currency.</w:t>
      </w:r>
    </w:p>
    <w:p>
      <w:pPr>
        <w:pStyle w:val="Compact"/>
        <w:numPr>
          <w:ilvl w:val="0"/>
          <w:numId w:val="1030"/>
        </w:numPr>
      </w:pPr>
      <w:r>
        <w:rPr>
          <w:b/>
          <w:bCs/>
        </w:rPr>
        <w:t xml:space="preserve">Indirect quote</w:t>
      </w:r>
      <w:r>
        <w:t xml:space="preserve">: foreign currency price of 1 unit of home currency.</w:t>
      </w:r>
    </w:p>
    <w:p>
      <w:pPr>
        <w:pStyle w:val="FirstParagraph"/>
      </w:pPr>
      <w:r>
        <w:t xml:space="preserve">For a U.S. resident,</w:t>
      </w:r>
      <w:r>
        <w:t xml:space="preserve"> </w:t>
      </w:r>
      <m:oMath>
        <m:r>
          <m:rPr>
            <m:nor/>
            <m:sty m:val="p"/>
          </m:rPr>
          <m:t>USD</m:t>
        </m:r>
        <m:r>
          <m:rPr>
            <m:sty m:val="p"/>
          </m:rPr>
          <m:t>/</m:t>
        </m:r>
        <m:r>
          <m:rPr>
            <m:nor/>
            <m:sty m:val="p"/>
          </m:rPr>
          <m:t>EUR</m:t>
        </m:r>
      </m:oMath>
      <w:r>
        <w:t xml:space="preserve"> </w:t>
      </w:r>
      <w:r>
        <w:t xml:space="preserve">is direct;</w:t>
      </w:r>
      <w:r>
        <w:t xml:space="preserve"> </w:t>
      </w:r>
      <m:oMath>
        <m:r>
          <m:rPr>
            <m:nor/>
            <m:sty m:val="p"/>
          </m:rPr>
          <m:t>EUR</m:t>
        </m:r>
        <m:r>
          <m:rPr>
            <m:sty m:val="p"/>
          </m:rPr>
          <m:t>/</m:t>
        </m:r>
        <m:r>
          <m:rPr>
            <m:nor/>
            <m:sty m:val="p"/>
          </m:rPr>
          <m:t>USD</m:t>
        </m:r>
      </m:oMath>
      <w:r>
        <w:t xml:space="preserve"> </w:t>
      </w:r>
      <w:r>
        <w:t xml:space="preserve">is indirect.</w:t>
      </w:r>
    </w:p>
    <w:bookmarkEnd w:id="73"/>
    <w:bookmarkStart w:id="74" w:name="bid-and-ask-rates"/>
    <w:p>
      <w:pPr>
        <w:pStyle w:val="Heading4"/>
      </w:pPr>
      <w:r>
        <w:t xml:space="preserve">5.4.3.5 Bid and ask rates</w:t>
      </w:r>
    </w:p>
    <w:p>
      <w:pPr>
        <w:pStyle w:val="FirstParagraph"/>
      </w:pPr>
      <w:r>
        <w:t xml:space="preserve">Interbank quotes are two-sided:</w:t>
      </w:r>
    </w:p>
    <w:p>
      <w:pPr>
        <w:pStyle w:val="Compact"/>
        <w:numPr>
          <w:ilvl w:val="0"/>
          <w:numId w:val="1031"/>
        </w:numPr>
      </w:pPr>
      <w:r>
        <w:rPr>
          <w:b/>
          <w:bCs/>
        </w:rPr>
        <w:t xml:space="preserve">Bid</w:t>
      </w:r>
      <w:r>
        <w:t xml:space="preserve">: dealer buys the base currency (you sell it to the dealer)</w:t>
      </w:r>
    </w:p>
    <w:p>
      <w:pPr>
        <w:pStyle w:val="Compact"/>
        <w:numPr>
          <w:ilvl w:val="0"/>
          <w:numId w:val="1031"/>
        </w:numPr>
      </w:pPr>
      <w:r>
        <w:rPr>
          <w:b/>
          <w:bCs/>
        </w:rPr>
        <w:t xml:space="preserve">Ask (offer)</w:t>
      </w:r>
      <w:r>
        <w:t xml:space="preserve">: dealer sells the base currency (you buy it from the dealer)</w:t>
      </w:r>
    </w:p>
    <w:p>
      <w:pPr>
        <w:pStyle w:val="FirstParagraph"/>
      </w:pPr>
      <w:r>
        <w:t xml:space="preserve">A useful operational rule:</w:t>
      </w:r>
    </w:p>
    <w:p>
      <w:pPr>
        <w:pStyle w:val="Compact"/>
        <w:numPr>
          <w:ilvl w:val="0"/>
          <w:numId w:val="1032"/>
        </w:numPr>
      </w:pPr>
      <w:r>
        <w:rPr>
          <w:i/>
          <w:iCs/>
        </w:rPr>
        <w:t xml:space="preserve">You buy at the ask; you sell at the bid.</w:t>
      </w:r>
    </w:p>
    <w:p>
      <w:pPr>
        <w:pStyle w:val="FirstParagraph"/>
      </w:pPr>
      <w:r>
        <w:rPr>
          <w:b/>
          <w:bCs/>
        </w:rPr>
        <w:t xml:space="preserve">Why do spreads exist?</w:t>
      </w:r>
      <w:r>
        <w:t xml:space="preserve"> </w:t>
      </w:r>
      <w:r>
        <w:t xml:space="preserve">processing costs, inventory costs, volatility, and market competition/liquidity.</w:t>
      </w:r>
    </w:p>
    <w:bookmarkEnd w:id="74"/>
    <w:bookmarkEnd w:id="75"/>
    <w:bookmarkStart w:id="7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m:oMath>
        <m:r>
          <m:rPr>
            <m:nor/>
            <m:sty m:val="p"/>
          </m:rPr>
          <m:t>USD</m:t>
        </m:r>
        <m:r>
          <m:rPr>
            <m:sty m:val="p"/>
          </m:rPr>
          <m:t>/</m:t>
        </m:r>
        <m:r>
          <m:rPr>
            <m:nor/>
            <m:sty m:val="p"/>
          </m:rPr>
          <m:t>EUR</m:t>
        </m:r>
      </m:oMath>
      <w:r>
        <w:t xml:space="preserve"> </w:t>
      </w:r>
      <w:r>
        <w:t xml:space="preserve">and</w:t>
      </w:r>
      <w:r>
        <w:t xml:space="preserve"> </w:t>
      </w:r>
      <m:oMath>
        <m:r>
          <m:rPr>
            <m:nor/>
            <m:sty m:val="p"/>
          </m:rPr>
          <m:t>USD</m:t>
        </m:r>
        <m:r>
          <m:rPr>
            <m:sty m:val="p"/>
          </m:rPr>
          <m:t>/</m:t>
        </m:r>
        <m:r>
          <m:rPr>
            <m:nor/>
            <m:sty m:val="p"/>
          </m:rPr>
          <m:t>GBP</m:t>
        </m:r>
      </m:oMath>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76"/>
    <w:bookmarkStart w:id="8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78" name="Picture"/>
            <a:graphic>
              <a:graphicData uri="http://schemas.openxmlformats.org/drawingml/2006/picture">
                <pic:pic>
                  <pic:nvPicPr>
                    <pic:cNvPr descr="../assets/images/Ch05/Exhibit_5.12_triangular_arbitrage.png" id="79" name="Picture"/>
                    <pic:cNvPicPr>
                      <a:picLocks noChangeArrowheads="1" noChangeAspect="1"/>
                    </pic:cNvPicPr>
                  </pic:nvPicPr>
                  <pic:blipFill>
                    <a:blip r:embed="rId7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An example of Arbitrage:</w:t>
      </w:r>
    </w:p>
    <w:p>
      <w:pPr>
        <w:pStyle w:val="Compact"/>
        <w:numPr>
          <w:ilvl w:val="0"/>
          <w:numId w:val="1033"/>
        </w:numPr>
      </w:pPr>
      <w:r>
        <w:t xml:space="preserve">Start with one currency (e.g., USD).</w:t>
      </w:r>
    </w:p>
    <w:p>
      <w:pPr>
        <w:pStyle w:val="Compact"/>
        <w:numPr>
          <w:ilvl w:val="0"/>
          <w:numId w:val="1033"/>
        </w:numPr>
      </w:pPr>
      <w:r>
        <w:t xml:space="preserve">Convert to a second currency at the dealer’s bid/ask.</w:t>
      </w:r>
    </w:p>
    <w:p>
      <w:pPr>
        <w:pStyle w:val="Compact"/>
        <w:numPr>
          <w:ilvl w:val="0"/>
          <w:numId w:val="1033"/>
        </w:numPr>
      </w:pPr>
      <w:r>
        <w:t xml:space="preserve">Convert to a third currency.</w:t>
      </w:r>
    </w:p>
    <w:p>
      <w:pPr>
        <w:pStyle w:val="Compact"/>
        <w:numPr>
          <w:ilvl w:val="0"/>
          <w:numId w:val="1033"/>
        </w:numPr>
      </w:pPr>
      <w:r>
        <w:t xml:space="preserve">Convert back to the original.</w:t>
      </w:r>
    </w:p>
    <w:p>
      <w:pPr>
        <w:pStyle w:val="Compact"/>
        <w:numPr>
          <w:ilvl w:val="0"/>
          <w:numId w:val="1033"/>
        </w:numPr>
      </w:pPr>
      <w:r>
        <w:t xml:space="preserve">If you end with more than you started (after costs), an arbitrage exists.</w:t>
      </w:r>
    </w:p>
    <w:bookmarkEnd w:id="80"/>
    <w:bookmarkStart w:id="8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4"/>
        </w:numPr>
      </w:pPr>
      <w:r>
        <w:t xml:space="preserve">Spot is quoted</w:t>
      </w:r>
      <w:r>
        <w:t xml:space="preserve"> </w:t>
      </w:r>
      <w:r>
        <w:t xml:space="preserve">“outright”</w:t>
      </w:r>
      <w:r>
        <w:t xml:space="preserve"> </w:t>
      </w:r>
      <w:r>
        <w:t xml:space="preserve">(all digits).</w:t>
      </w:r>
    </w:p>
    <w:p>
      <w:pPr>
        <w:pStyle w:val="Compact"/>
        <w:numPr>
          <w:ilvl w:val="0"/>
          <w:numId w:val="1034"/>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82" name="Picture"/>
            <a:graphic>
              <a:graphicData uri="http://schemas.openxmlformats.org/drawingml/2006/picture">
                <pic:pic>
                  <pic:nvPicPr>
                    <pic:cNvPr descr="../assets/images/Ch05/Exhibit_5.13_spot_forward_quotes.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8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5"/>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5"/>
        </w:numPr>
      </w:pPr>
      <w:r>
        <w:t xml:space="preserve">If (F &lt; S): it is at a</w:t>
      </w:r>
      <w:r>
        <w:t xml:space="preserve"> </w:t>
      </w:r>
      <w:r>
        <w:rPr>
          <w:b/>
          <w:bCs/>
        </w:rPr>
        <w:t xml:space="preserve">forward discount</w:t>
      </w:r>
      <w:r>
        <w:t xml:space="preserve">.</w:t>
      </w:r>
    </w:p>
    <w:p>
      <w:pPr>
        <w:pStyle w:val="FirstParagraph"/>
      </w:pPr>
      <w:r>
        <w:rPr>
          <w:b/>
          <w:bCs/>
        </w:rPr>
        <w:t xml:space="preserve">Important note:</w:t>
      </w:r>
      <w:r>
        <w:t xml:space="preserve"> </w:t>
      </w:r>
      <w:r>
        <w:t xml:space="preserve">the sign and interpretation can flip depending on quote convention (American vs European terms). The safest approach is to define your quote clearly, compute ((F-S)/S), and interpret the meaning in words (</w:t>
      </w:r>
      <w:r>
        <w:t xml:space="preserve">“more or fewer USD per 1 unit of foreign currency”</w:t>
      </w:r>
      <w:r>
        <w:t xml:space="preserve">).</w:t>
      </w:r>
    </w:p>
    <w:bookmarkEnd w:id="84"/>
    <w:bookmarkEnd w:id="85"/>
    <w:bookmarkStart w:id="86" w:name="possible-misconceptions"/>
    <w:p>
      <w:pPr>
        <w:pStyle w:val="Heading3"/>
      </w:pPr>
      <w:r>
        <w:t xml:space="preserve">5.4.7 Possible misconceptions</w:t>
      </w:r>
    </w:p>
    <w:p>
      <w:pPr>
        <w:pStyle w:val="Compact"/>
        <w:numPr>
          <w:ilvl w:val="0"/>
          <w:numId w:val="1036"/>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6"/>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6"/>
        </w:numPr>
      </w:pPr>
      <w:r>
        <w:rPr>
          <w:b/>
          <w:bCs/>
        </w:rPr>
        <w:t xml:space="preserve">“Cross rates are just multiplying numbers.”</w:t>
      </w:r>
      <w:r>
        <w:br/>
      </w:r>
      <w:r>
        <w:t xml:space="preserve">Cross rates are unit algebra; always track currency units.</w:t>
      </w:r>
    </w:p>
    <w:p>
      <w:r>
        <w:pict>
          <v:rect style="width:0;height:1.5pt" o:hralign="center" o:hrstd="t" o:hr="t"/>
        </w:pict>
      </w:r>
    </w:p>
    <w:bookmarkEnd w:id="86"/>
    <w:bookmarkEnd w:id="87"/>
    <w:bookmarkStart w:id="88" w:name="summary"/>
    <w:p>
      <w:pPr>
        <w:pStyle w:val="Heading2"/>
      </w:pPr>
      <w:r>
        <w:t xml:space="preserve">5.5 Summary</w:t>
      </w:r>
    </w:p>
    <w:p>
      <w:pPr>
        <w:pStyle w:val="FirstParagraph"/>
      </w:pPr>
      <w:r>
        <w:t xml:space="preserve">A compact way to remember Chapter 5:</w:t>
      </w:r>
    </w:p>
    <w:p>
      <w:pPr>
        <w:pStyle w:val="Compact"/>
        <w:numPr>
          <w:ilvl w:val="0"/>
          <w:numId w:val="1037"/>
        </w:numPr>
      </w:pPr>
      <w:r>
        <w:rPr>
          <w:b/>
          <w:bCs/>
        </w:rPr>
        <w:t xml:space="preserve">Purpose:</w:t>
      </w:r>
      <w:r>
        <w:t xml:space="preserve"> </w:t>
      </w:r>
      <w:r>
        <w:t xml:space="preserve">FX moves purchasing power, provides trade finance mechanisms, and enables risk transfer.</w:t>
      </w:r>
    </w:p>
    <w:p>
      <w:pPr>
        <w:pStyle w:val="Compact"/>
        <w:numPr>
          <w:ilvl w:val="0"/>
          <w:numId w:val="1037"/>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7"/>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7"/>
        </w:numPr>
      </w:pPr>
      <w:r>
        <w:rPr>
          <w:b/>
          <w:bCs/>
        </w:rPr>
        <w:t xml:space="preserve">Language:</w:t>
      </w:r>
      <w:r>
        <w:t xml:space="preserve"> </w:t>
      </w:r>
      <w:r>
        <w:t xml:space="preserve">quotes have conventions—base/quote, direct/indirect, European/American terms, bid/ask.</w:t>
      </w:r>
    </w:p>
    <w:p>
      <w:pPr>
        <w:pStyle w:val="Compact"/>
        <w:numPr>
          <w:ilvl w:val="0"/>
          <w:numId w:val="1037"/>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2026-04-01T02:51:12Z</dcterms:created>
  <dcterms:modified xsi:type="dcterms:W3CDTF">2026-04-01T02:51:12Z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