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2026-02-08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8" w:name="introduction"/>
    <w:p>
      <w:pPr>
        <w:pStyle w:val="Heading1"/>
      </w:pPr>
      <w:r>
        <w:t xml:space="preserve">4. Introduction</w:t>
      </w:r>
    </w:p>
    <w:p>
      <w:pPr>
        <w:pStyle w:val="FirstParagraph"/>
      </w:pPr>
      <w:r>
        <w:t xml:space="preserve">Random Quote:</w:t>
      </w:r>
      <w:r>
        <w:t xml:space="preserve"> </w:t>
      </w:r>
      <w:r>
        <w:rPr>
          <w:b/>
          <w:bCs/>
        </w:rPr>
        <w:t xml:space="preserve">A student asked his master,</w:t>
      </w:r>
      <w:r>
        <w:rPr>
          <w:b/>
          <w:bCs/>
        </w:rPr>
        <w:t xml:space="preserve"> </w:t>
      </w:r>
      <w:r>
        <w:rPr>
          <w:b/>
          <w:bCs/>
        </w:rPr>
        <w:t xml:space="preserve">“You talk about peace, but you only teach me to fight. How do you reconcile the two?”</w:t>
      </w:r>
      <w:r>
        <w:rPr>
          <w:b/>
          <w:bCs/>
        </w:rPr>
        <w:t xml:space="preserve"> </w:t>
      </w:r>
      <w:r>
        <w:rPr>
          <w:b/>
          <w:bCs/>
        </w:rPr>
        <w:t xml:space="preserve">The master replied,</w:t>
      </w:r>
      <w:r>
        <w:rPr>
          <w:b/>
          <w:bCs/>
        </w:rPr>
        <w:t xml:space="preserve"> </w:t>
      </w:r>
      <w:r>
        <w:rPr>
          <w:b/>
          <w:bCs/>
        </w:rPr>
        <w:t xml:space="preserve">“It is better to be a warrior in a garden, than a gardener in a war.”</w:t>
      </w:r>
    </w:p>
    <w:p>
      <w:pPr>
        <w:pStyle w:val="BodyText"/>
      </w:pPr>
      <w:r>
        <w:t xml:space="preserve">Scripture:</w:t>
      </w:r>
      <w:r>
        <w:t xml:space="preserve"> </w:t>
      </w:r>
      <w:r>
        <w:rPr>
          <w:b/>
          <w:bCs/>
        </w:rPr>
        <w:t xml:space="preserve">“I am sending you out like sheep among wolves. Therefore be as shrewd as snakes and as innocent as doves. Be on your guard;”</w:t>
      </w:r>
      <w:r>
        <w:t xml:space="preserve"> </w:t>
      </w:r>
      <w:r>
        <w:t xml:space="preserve">- Matthew 10:16-17a</w:t>
      </w:r>
    </w:p>
    <w:p>
      <w:pPr>
        <w:pStyle w:val="BodyText"/>
      </w:pPr>
      <w:r>
        <w:t xml:space="preserve">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Start w:id="36" w:name="business-ownership"/>
    <w:p>
      <w:pPr>
        <w:pStyle w:val="Heading2"/>
      </w:pPr>
      <w:r>
        <w:t xml:space="preserve">4.1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8" w:name="types-of-ownership"/>
    <w:p>
      <w:pPr>
        <w:pStyle w:val="Heading3"/>
      </w:pPr>
      <w:r>
        <w:t xml:space="preserve">4.1.1 Types of Ownership</w:t>
      </w:r>
    </w:p>
    <w:p>
      <w:pPr>
        <w:pStyle w:val="FirstParagraph"/>
      </w:pPr>
      <w:r>
        <w:t xml:space="preserve">The terminology associated with the ownership of a business can be confusing. Let’s clarify the key distinctions:</w:t>
      </w:r>
    </w:p>
    <w:bookmarkStart w:id="22" w:name="public-vs.-private-enterprise"/>
    <w:p>
      <w:pPr>
        <w:pStyle w:val="Heading4"/>
      </w:pPr>
      <w:r>
        <w:t xml:space="preserve">4.1.1.1 Public vs. Private Enterprise</w:t>
      </w:r>
    </w:p>
    <w:tbl>
      <w:tblPr>
        <w:tblStyle w:val="Table"/>
        <w:tblW w:type="pct" w:w="5000"/>
        <w:tblLayout w:type="fixed"/>
        <w:tblLook w:firstRow="1" w:lastRow="0" w:firstColumn="0" w:lastColumn="0" w:noHBand="0" w:noVBand="0" w:val="0020"/>
      </w:tblPr>
      <w:tblGrid>
        <w:gridCol w:w="2677"/>
        <w:gridCol w:w="5242"/>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2"/>
    <w:bookmarkStart w:id="23" w:name="hybrid-ownership-structures"/>
    <w:p>
      <w:pPr>
        <w:pStyle w:val="Heading4"/>
      </w:pPr>
      <w:r>
        <w:t xml:space="preserve">4.1.1.2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3"/>
    <w:bookmarkStart w:id="24" w:name="ownership-examples"/>
    <w:p>
      <w:pPr>
        <w:pStyle w:val="Heading4"/>
      </w:pPr>
      <w:r>
        <w:t xml:space="preserve">4.1.1.3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4"/>
    <w:bookmarkStart w:id="25" w:name="understanding-ownership-and-control"/>
    <w:p>
      <w:pPr>
        <w:pStyle w:val="Heading4"/>
      </w:pPr>
      <w:r>
        <w:t xml:space="preserve">4.1.1.4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50"/>
        <w:gridCol w:w="2420"/>
        <w:gridCol w:w="2750"/>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5"/>
    <w:bookmarkStart w:id="26" w:name="going-public-and-going-private"/>
    <w:p>
      <w:pPr>
        <w:pStyle w:val="Heading4"/>
      </w:pPr>
      <w:r>
        <w:t xml:space="preserve">4.1.1.5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6"/>
    <w:bookmarkStart w:id="27" w:name="implications-of-going-public"/>
    <w:p>
      <w:pPr>
        <w:pStyle w:val="Heading4"/>
      </w:pPr>
      <w:r>
        <w:t xml:space="preserve">4.1.1.6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7"/>
    <w:bookmarkEnd w:id="28"/>
    <w:bookmarkStart w:id="32" w:name="the-corporation"/>
    <w:p>
      <w:pPr>
        <w:pStyle w:val="Heading3"/>
      </w:pPr>
      <w:r>
        <w:t xml:space="preserve">4.1.2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29" w:name="characteristics-of-a-corporation"/>
    <w:p>
      <w:pPr>
        <w:pStyle w:val="Heading4"/>
      </w:pPr>
      <w:r>
        <w:t xml:space="preserve">4.1.2.1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29"/>
    <w:bookmarkStart w:id="30" w:name="limited-liability"/>
    <w:p>
      <w:pPr>
        <w:pStyle w:val="Heading4"/>
      </w:pPr>
      <w:r>
        <w:t xml:space="preserve">4.1.2.2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0"/>
    <w:bookmarkStart w:id="31" w:name="complexities-of-the-corporate-form"/>
    <w:p>
      <w:pPr>
        <w:pStyle w:val="Heading4"/>
      </w:pPr>
      <w:r>
        <w:t xml:space="preserve">4.1.2.3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1"/>
    <w:bookmarkEnd w:id="32"/>
    <w:bookmarkStart w:id="35" w:name="separation-of-ownership-and-management"/>
    <w:p>
      <w:pPr>
        <w:pStyle w:val="Heading3"/>
      </w:pPr>
      <w:r>
        <w:t xml:space="preserve">4.1.3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3" w:name="the-agency-problem"/>
    <w:p>
      <w:pPr>
        <w:pStyle w:val="Heading4"/>
      </w:pPr>
      <w:r>
        <w:t xml:space="preserve">4.1.3.1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2"/>
        </w:numPr>
      </w:pPr>
      <w:r>
        <w:t xml:space="preserve">Different business and financial objectives</w:t>
      </w:r>
    </w:p>
    <w:p>
      <w:pPr>
        <w:pStyle w:val="Compact"/>
        <w:numPr>
          <w:ilvl w:val="0"/>
          <w:numId w:val="1012"/>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3"/>
    <w:bookmarkStart w:id="34" w:name="examples-of-agency-issues"/>
    <w:p>
      <w:pPr>
        <w:pStyle w:val="Heading4"/>
      </w:pPr>
      <w:r>
        <w:t xml:space="preserve">4.1.3.2 Examples of Agency Issues</w:t>
      </w:r>
    </w:p>
    <w:p>
      <w:pPr>
        <w:pStyle w:val="Compact"/>
        <w:numPr>
          <w:ilvl w:val="0"/>
          <w:numId w:val="1013"/>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3"/>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p>
      <w:r>
        <w:pict>
          <v:rect style="width:0;height:1.5pt" o:hralign="center" o:hrstd="t" o:hr="t"/>
        </w:pict>
      </w:r>
    </w:p>
    <w:bookmarkEnd w:id="34"/>
    <w:bookmarkEnd w:id="35"/>
    <w:bookmarkEnd w:id="36"/>
    <w:bookmarkStart w:id="66" w:name="the-corporate-objective"/>
    <w:p>
      <w:pPr>
        <w:pStyle w:val="Heading2"/>
      </w:pPr>
      <w:r>
        <w:t xml:space="preserve">4.2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14"/>
        </w:numPr>
      </w:pPr>
      <w:r>
        <w:t xml:space="preserve">Enrich customers</w:t>
      </w:r>
    </w:p>
    <w:p>
      <w:pPr>
        <w:pStyle w:val="Compact"/>
        <w:numPr>
          <w:ilvl w:val="0"/>
          <w:numId w:val="1014"/>
        </w:numPr>
      </w:pPr>
      <w:r>
        <w:t xml:space="preserve">Provide jobs</w:t>
      </w:r>
    </w:p>
    <w:p>
      <w:pPr>
        <w:pStyle w:val="Compact"/>
        <w:numPr>
          <w:ilvl w:val="0"/>
          <w:numId w:val="1014"/>
        </w:numPr>
      </w:pPr>
      <w:r>
        <w:t xml:space="preserve">Generate wealth for shareholders</w:t>
      </w:r>
    </w:p>
    <w:p>
      <w:pPr>
        <w:pStyle w:val="Compact"/>
        <w:numPr>
          <w:ilvl w:val="0"/>
          <w:numId w:val="1014"/>
        </w:numPr>
      </w:pPr>
      <w:r>
        <w:t xml:space="preserve">Create value for stakeholders</w:t>
      </w:r>
    </w:p>
    <w:p>
      <w:pPr>
        <w:pStyle w:val="Compact"/>
        <w:numPr>
          <w:ilvl w:val="0"/>
          <w:numId w:val="1014"/>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37" w:name="the-two-dominant-forms-of-capitalism"/>
    <w:p>
      <w:pPr>
        <w:pStyle w:val="Heading3"/>
      </w:pPr>
      <w:r>
        <w:t xml:space="preserve">4.2.1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15"/>
        </w:numPr>
      </w:pPr>
      <w:r>
        <w:rPr>
          <w:b/>
          <w:bCs/>
        </w:rPr>
        <w:t xml:space="preserve">Shareholder Capitalism</w:t>
      </w:r>
      <w:r>
        <w:t xml:space="preserve"> </w:t>
      </w:r>
      <w:r>
        <w:t xml:space="preserve">(also called Shareholder Wealth Maximization or SWM)</w:t>
      </w:r>
    </w:p>
    <w:p>
      <w:pPr>
        <w:pStyle w:val="Compact"/>
        <w:numPr>
          <w:ilvl w:val="0"/>
          <w:numId w:val="1015"/>
        </w:numPr>
      </w:pPr>
      <w:r>
        <w:rPr>
          <w:b/>
          <w:bCs/>
        </w:rPr>
        <w:t xml:space="preserve">Stakeholder Capitalism</w:t>
      </w:r>
      <w:r>
        <w:t xml:space="preserve"> </w:t>
      </w:r>
      <w:r>
        <w:t xml:space="preserve">(also called the Stakeholder Capitalism Model or SCM)</w:t>
      </w:r>
    </w:p>
    <w:bookmarkEnd w:id="37"/>
    <w:bookmarkStart w:id="38" w:name="understanding-stakeholders"/>
    <w:p>
      <w:pPr>
        <w:pStyle w:val="Heading3"/>
      </w:pPr>
      <w:r>
        <w:t xml:space="preserve">4.2.2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16"/>
        </w:numPr>
      </w:pPr>
      <w:r>
        <w:rPr>
          <w:i/>
          <w:iCs/>
        </w:rPr>
        <w:t xml:space="preserve">Business stakeholders:</w:t>
      </w:r>
      <w:r>
        <w:t xml:space="preserve"> </w:t>
      </w:r>
      <w:r>
        <w:t xml:space="preserve">Suppliers and customers</w:t>
      </w:r>
    </w:p>
    <w:p>
      <w:pPr>
        <w:pStyle w:val="Compact"/>
        <w:numPr>
          <w:ilvl w:val="0"/>
          <w:numId w:val="1016"/>
        </w:numPr>
      </w:pPr>
      <w:r>
        <w:rPr>
          <w:i/>
          <w:iCs/>
        </w:rPr>
        <w:t xml:space="preserve">Internal stakeholders:</w:t>
      </w:r>
      <w:r>
        <w:t xml:space="preserve"> </w:t>
      </w:r>
      <w:r>
        <w:t xml:space="preserve">Employees and management</w:t>
      </w:r>
    </w:p>
    <w:p>
      <w:pPr>
        <w:pStyle w:val="Compact"/>
        <w:numPr>
          <w:ilvl w:val="0"/>
          <w:numId w:val="1016"/>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17"/>
        </w:numPr>
      </w:pPr>
      <w:r>
        <w:t xml:space="preserve">Community</w:t>
      </w:r>
    </w:p>
    <w:p>
      <w:pPr>
        <w:pStyle w:val="Compact"/>
        <w:numPr>
          <w:ilvl w:val="0"/>
          <w:numId w:val="1017"/>
        </w:numPr>
      </w:pPr>
      <w:r>
        <w:t xml:space="preserve">Government</w:t>
      </w:r>
    </w:p>
    <w:p>
      <w:pPr>
        <w:pStyle w:val="Compact"/>
        <w:numPr>
          <w:ilvl w:val="0"/>
          <w:numId w:val="1017"/>
        </w:numPr>
      </w:pPr>
      <w:r>
        <w:t xml:space="preserve">Civil society</w:t>
      </w:r>
    </w:p>
    <w:p>
      <w:pPr>
        <w:pStyle w:val="Compact"/>
        <w:numPr>
          <w:ilvl w:val="0"/>
          <w:numId w:val="1017"/>
        </w:numPr>
      </w:pPr>
      <w:r>
        <w:t xml:space="preserve">Environment</w:t>
      </w:r>
    </w:p>
    <w:bookmarkEnd w:id="38"/>
    <w:bookmarkStart w:id="43" w:name="shareholder-capitalism"/>
    <w:p>
      <w:pPr>
        <w:pStyle w:val="Heading3"/>
      </w:pPr>
      <w:r>
        <w:t xml:space="preserve">4.2.3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Definition of Shareholder Wealth Maximization (SWM)</w:t>
      </w:r>
    </w:p>
    <w:p>
      <w:pPr>
        <w:pStyle w:val="BodyText"/>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18"/>
        </w:numPr>
      </w:pPr>
      <w:r>
        <w:t xml:space="preserve">Maximize the financial returns to shareholders, as measured by the sum of capital gains and dividends, for a given level of risk</w:t>
      </w:r>
    </w:p>
    <w:p>
      <w:pPr>
        <w:pStyle w:val="Compact"/>
        <w:numPr>
          <w:ilvl w:val="0"/>
          <w:numId w:val="1018"/>
        </w:numPr>
      </w:pPr>
      <w:r>
        <w:t xml:space="preserve">Alternatively, minimize the risk to shareholders for a given rate of return</w:t>
      </w:r>
    </w:p>
    <w:p>
      <w:pPr>
        <w:pStyle w:val="Compact"/>
        <w:numPr>
          <w:ilvl w:val="0"/>
          <w:numId w:val="1018"/>
        </w:numPr>
      </w:pPr>
      <w:r>
        <w:t xml:space="preserve">Do so in preference to the interests and returns to all other stakeholders of the firm</w:t>
      </w:r>
    </w:p>
    <w:bookmarkStart w:id="39" w:name="market-efficiency"/>
    <w:p>
      <w:pPr>
        <w:pStyle w:val="Heading4"/>
      </w:pPr>
      <w:r>
        <w:t xml:space="preserve">4.2.3.1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19"/>
        </w:numPr>
      </w:pPr>
      <w:r>
        <w:t xml:space="preserve">The share price is always correct because it captures all the expectations of return and risk as perceived by investors</w:t>
      </w:r>
    </w:p>
    <w:p>
      <w:pPr>
        <w:pStyle w:val="Compact"/>
        <w:numPr>
          <w:ilvl w:val="0"/>
          <w:numId w:val="1019"/>
        </w:numPr>
      </w:pPr>
      <w:r>
        <w:t xml:space="preserve">It quickly incorporates new information into the share price</w:t>
      </w:r>
    </w:p>
    <w:p>
      <w:pPr>
        <w:pStyle w:val="Compact"/>
        <w:numPr>
          <w:ilvl w:val="0"/>
          <w:numId w:val="1019"/>
        </w:numPr>
      </w:pPr>
      <w:r>
        <w:t xml:space="preserve">Share prices, in turn, are deemed the best allocators of capital in the macro economy</w:t>
      </w:r>
    </w:p>
    <w:bookmarkEnd w:id="39"/>
    <w:bookmarkStart w:id="40" w:name="risk"/>
    <w:p>
      <w:pPr>
        <w:pStyle w:val="Heading4"/>
      </w:pPr>
      <w:r>
        <w:t xml:space="preserve">4.2.3.2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0"/>
        </w:numPr>
      </w:pPr>
      <w:r>
        <w:t xml:space="preserve">The risk of the market in general</w:t>
      </w:r>
    </w:p>
    <w:p>
      <w:pPr>
        <w:pStyle w:val="Compact"/>
        <w:numPr>
          <w:ilvl w:val="0"/>
          <w:numId w:val="1020"/>
        </w:numPr>
      </w:pPr>
      <w:r>
        <w:t xml:space="preserve">Cannot be eliminated through portfolio diversification</w:t>
      </w:r>
    </w:p>
    <w:p>
      <w:pPr>
        <w:pStyle w:val="Compact"/>
        <w:numPr>
          <w:ilvl w:val="0"/>
          <w:numId w:val="1020"/>
        </w:numPr>
      </w:pPr>
      <w:r>
        <w:t xml:space="preserve">The share price will be a function of the stock market</w:t>
      </w:r>
    </w:p>
    <w:p>
      <w:pPr>
        <w:pStyle w:val="FirstParagraph"/>
      </w:pPr>
      <w:r>
        <w:rPr>
          <w:b/>
          <w:bCs/>
        </w:rPr>
        <w:t xml:space="preserve">Unsystematic Risk:</w:t>
      </w:r>
    </w:p>
    <w:p>
      <w:pPr>
        <w:pStyle w:val="Compact"/>
        <w:numPr>
          <w:ilvl w:val="0"/>
          <w:numId w:val="1021"/>
        </w:numPr>
      </w:pPr>
      <w:r>
        <w:t xml:space="preserve">The risk of the individual security</w:t>
      </w:r>
    </w:p>
    <w:p>
      <w:pPr>
        <w:pStyle w:val="Compact"/>
        <w:numPr>
          <w:ilvl w:val="0"/>
          <w:numId w:val="1021"/>
        </w:numPr>
      </w:pPr>
      <w:r>
        <w:t xml:space="preserve">The operational risk associated with the business line of the individual firm</w:t>
      </w:r>
    </w:p>
    <w:p>
      <w:pPr>
        <w:pStyle w:val="Compact"/>
        <w:numPr>
          <w:ilvl w:val="0"/>
          <w:numId w:val="1021"/>
        </w:numPr>
      </w:pPr>
      <w:r>
        <w:t xml:space="preserve">Can be eliminated through portfolio diversification by investors</w:t>
      </w:r>
    </w:p>
    <w:p>
      <w:pPr>
        <w:pStyle w:val="Compact"/>
        <w:numPr>
          <w:ilvl w:val="0"/>
          <w:numId w:val="1021"/>
        </w:numPr>
      </w:pPr>
      <w:r>
        <w:t xml:space="preserve">Should not be a prime concern for management unless it increases the possibility of bankruptcy</w:t>
      </w:r>
    </w:p>
    <w:bookmarkEnd w:id="40"/>
    <w:bookmarkStart w:id="41" w:name="agency-theory"/>
    <w:p>
      <w:pPr>
        <w:pStyle w:val="Heading4"/>
      </w:pPr>
      <w:r>
        <w:t xml:space="preserve">4.2.3.3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22"/>
        </w:numPr>
      </w:pPr>
      <w:r>
        <w:t xml:space="preserve">Liberal use of stock options should encourage management to think like shareholders</w:t>
      </w:r>
    </w:p>
    <w:p>
      <w:pPr>
        <w:pStyle w:val="Compact"/>
        <w:numPr>
          <w:ilvl w:val="0"/>
          <w:numId w:val="1022"/>
        </w:numPr>
      </w:pPr>
      <w:r>
        <w:t xml:space="preserve">If management deviates from SWM objectives, it is the responsibility of the board to replace management</w:t>
      </w:r>
    </w:p>
    <w:p>
      <w:pPr>
        <w:pStyle w:val="Compact"/>
        <w:numPr>
          <w:ilvl w:val="0"/>
          <w:numId w:val="1022"/>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1"/>
    <w:bookmarkStart w:id="42" w:name="X4af23be4038f6b2c3984e9bf8fa09a57b0b33af"/>
    <w:p>
      <w:pPr>
        <w:pStyle w:val="Heading4"/>
      </w:pPr>
      <w:r>
        <w:t xml:space="preserve">4.2.3.4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23"/>
        </w:numPr>
      </w:pPr>
      <w:r>
        <w:t xml:space="preserve">Instead of seeking long-term value maximization, several large U.S. corporations sought short-term value maximization</w:t>
      </w:r>
    </w:p>
    <w:p>
      <w:pPr>
        <w:pStyle w:val="Compact"/>
        <w:numPr>
          <w:ilvl w:val="0"/>
          <w:numId w:val="1023"/>
        </w:numPr>
      </w:pPr>
      <w:r>
        <w:t xml:space="preserve">This was partly motivated by the overly generous use of stock options to motivate top management</w:t>
      </w:r>
    </w:p>
    <w:p>
      <w:pPr>
        <w:pStyle w:val="Compact"/>
        <w:numPr>
          <w:ilvl w:val="0"/>
          <w:numId w:val="1023"/>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42"/>
    <w:bookmarkEnd w:id="43"/>
    <w:bookmarkStart w:id="48" w:name="stakeholder-capitalism"/>
    <w:p>
      <w:pPr>
        <w:pStyle w:val="Heading3"/>
      </w:pPr>
      <w:r>
        <w:t xml:space="preserve">4.2.4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p>
      <w:pPr>
        <w:pStyle w:val="FirstParagraph"/>
      </w:pPr>
      <w:r>
        <w:rPr>
          <w:b/>
          <w:bCs/>
        </w:rPr>
        <w:t xml:space="preserve">Characteristics of Stakeholder Capitalism</w:t>
      </w:r>
    </w:p>
    <w:p>
      <w:pPr>
        <w:pStyle w:val="BodyText"/>
      </w:pPr>
      <w:r>
        <w:t xml:space="preserve">In the non-Anglo-American markets, controlling shareholders also strive to maximize long-term returns to equity. However, they are more constrained by other powerful stakeholders:</w:t>
      </w:r>
    </w:p>
    <w:p>
      <w:pPr>
        <w:pStyle w:val="Compact"/>
        <w:numPr>
          <w:ilvl w:val="0"/>
          <w:numId w:val="1024"/>
        </w:numPr>
      </w:pPr>
      <w:r>
        <w:t xml:space="preserve">Labor unions are more powerful</w:t>
      </w:r>
    </w:p>
    <w:p>
      <w:pPr>
        <w:pStyle w:val="Compact"/>
        <w:numPr>
          <w:ilvl w:val="0"/>
          <w:numId w:val="1024"/>
        </w:numPr>
      </w:pPr>
      <w:r>
        <w:t xml:space="preserve">Governments interfere more in the marketplace to protect important stakeholder groups (local communities, the environment, employment)</w:t>
      </w:r>
    </w:p>
    <w:p>
      <w:pPr>
        <w:pStyle w:val="Compact"/>
        <w:numPr>
          <w:ilvl w:val="0"/>
          <w:numId w:val="1024"/>
        </w:numPr>
      </w:pPr>
      <w:r>
        <w:t xml:space="preserve">Banks and other financial institutions are more important creditors than securities markets</w:t>
      </w:r>
    </w:p>
    <w:bookmarkStart w:id="44" w:name="market-efficiency-1"/>
    <w:p>
      <w:pPr>
        <w:pStyle w:val="Heading4"/>
      </w:pPr>
      <w:r>
        <w:t xml:space="preserve">4.2.4.1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25"/>
        </w:numPr>
      </w:pPr>
      <w:r>
        <w:t xml:space="preserve">It does not really matter because the firm’s financial goals are not exclusively shareholder-oriented since they are constrained by other stakeholders</w:t>
      </w:r>
    </w:p>
    <w:p>
      <w:pPr>
        <w:pStyle w:val="Compact"/>
        <w:numPr>
          <w:ilvl w:val="0"/>
          <w:numId w:val="1025"/>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44"/>
    <w:bookmarkStart w:id="45" w:name="risk-1"/>
    <w:p>
      <w:pPr>
        <w:pStyle w:val="Heading4"/>
      </w:pPr>
      <w:r>
        <w:t xml:space="preserve">4.2.4.2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26"/>
        </w:numPr>
      </w:pPr>
      <w:r>
        <w:t xml:space="preserve">It is a specific corporate objective to generate growing earnings and dividends over the long run with as much certainty as possible</w:t>
      </w:r>
    </w:p>
    <w:p>
      <w:pPr>
        <w:pStyle w:val="Compact"/>
        <w:numPr>
          <w:ilvl w:val="0"/>
          <w:numId w:val="1026"/>
        </w:numPr>
      </w:pPr>
      <w:r>
        <w:t xml:space="preserve">Risk measurement is based more on product market variability than on short-term variation in earnings and share price</w:t>
      </w:r>
    </w:p>
    <w:bookmarkEnd w:id="45"/>
    <w:bookmarkStart w:id="46" w:name="single-versus-multiple-goals"/>
    <w:p>
      <w:pPr>
        <w:pStyle w:val="Heading4"/>
      </w:pPr>
      <w:r>
        <w:t xml:space="preserve">4.2.4.3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27"/>
        </w:numPr>
      </w:pPr>
      <w:r>
        <w:t xml:space="preserve">Trying to meet the desires of multiple stakeholders leaves management without a clear signal about the trade-offs</w:t>
      </w:r>
    </w:p>
    <w:p>
      <w:pPr>
        <w:pStyle w:val="Compact"/>
        <w:numPr>
          <w:ilvl w:val="0"/>
          <w:numId w:val="1027"/>
        </w:numPr>
      </w:pPr>
      <w:r>
        <w:t xml:space="preserve">Management tries to influence the trade-offs through written and oral disclosures and complex compensation systems</w:t>
      </w:r>
    </w:p>
    <w:bookmarkEnd w:id="46"/>
    <w:bookmarkStart w:id="47" w:name="the-scorecard"/>
    <w:p>
      <w:pPr>
        <w:pStyle w:val="Heading4"/>
      </w:pPr>
      <w:r>
        <w:t xml:space="preserve">4.2.4.4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47"/>
    <w:bookmarkEnd w:id="48"/>
    <w:bookmarkStart w:id="49" w:name="events-renewing-the-debate"/>
    <w:p>
      <w:pPr>
        <w:pStyle w:val="Heading3"/>
      </w:pPr>
      <w:r>
        <w:t xml:space="preserve">4.2.5 Events Renewing the Debate</w:t>
      </w:r>
    </w:p>
    <w:tbl>
      <w:tblPr>
        <w:tblStyle w:val="Table"/>
        <w:tblW w:type="pct" w:w="5000"/>
        <w:tblLayout w:type="fixed"/>
        <w:tblLook w:firstRow="1" w:lastRow="0" w:firstColumn="0" w:lastColumn="0" w:noHBand="0" w:noVBand="0" w:val="0020"/>
      </w:tblPr>
      <w:tblGrid>
        <w:gridCol w:w="2310"/>
        <w:gridCol w:w="1980"/>
        <w:gridCol w:w="3630"/>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49"/>
    <w:bookmarkStart w:id="50" w:name="environmental-social-and-governance-esg"/>
    <w:p>
      <w:pPr>
        <w:pStyle w:val="Heading3"/>
      </w:pPr>
      <w:r>
        <w:t xml:space="preserve">4.2.6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28"/>
        </w:numPr>
      </w:pPr>
      <w:r>
        <w:t xml:space="preserve">The corporation is not a real human and has no specific conscience or social value judgments</w:t>
      </w:r>
    </w:p>
    <w:p>
      <w:pPr>
        <w:pStyle w:val="Compact"/>
        <w:numPr>
          <w:ilvl w:val="0"/>
          <w:numId w:val="1028"/>
        </w:numPr>
      </w:pPr>
      <w:r>
        <w:t xml:space="preserve">Only the leaders of the publicly traded firm are humans, and it is not appropriate for those leaders to impose their own values on the corporation</w:t>
      </w:r>
    </w:p>
    <w:p>
      <w:pPr>
        <w:pStyle w:val="Compact"/>
        <w:numPr>
          <w:ilvl w:val="0"/>
          <w:numId w:val="1028"/>
        </w:numPr>
      </w:pPr>
      <w:r>
        <w:t xml:space="preserve">In the process of maximizing value for the shareholder, the entire pie is enlarged for all stakeholders</w:t>
      </w:r>
    </w:p>
    <w:p>
      <w:pPr>
        <w:pStyle w:val="FirstParagraph"/>
      </w:pPr>
      <w:r>
        <w:t xml:space="preserve">As Milton Friedman (Uncle Milty),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29"/>
        </w:numPr>
      </w:pPr>
      <w:r>
        <w:t xml:space="preserve">The corporation is a legal person and is obligated to benefit all of its stakeholders, including society, and not just shareholders</w:t>
      </w:r>
    </w:p>
    <w:bookmarkEnd w:id="50"/>
    <w:bookmarkStart w:id="51" w:name="X548c4a903df4c65012a8a9a113ca09417f8aa12"/>
    <w:p>
      <w:pPr>
        <w:pStyle w:val="Heading3"/>
      </w:pPr>
      <w:r>
        <w:t xml:space="preserve">4.2.7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0"/>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0"/>
        </w:numPr>
      </w:pPr>
      <w:r>
        <w:rPr>
          <w:b/>
          <w:bCs/>
        </w:rPr>
        <w:t xml:space="preserve">Planet:</w:t>
      </w:r>
      <w:r>
        <w:t xml:space="preserve"> </w:t>
      </w:r>
      <w:r>
        <w:t xml:space="preserve">Climate change, nature loss, freshwater availability</w:t>
      </w:r>
    </w:p>
    <w:p>
      <w:pPr>
        <w:pStyle w:val="Compact"/>
        <w:numPr>
          <w:ilvl w:val="0"/>
          <w:numId w:val="1030"/>
        </w:numPr>
      </w:pPr>
      <w:r>
        <w:rPr>
          <w:b/>
          <w:bCs/>
        </w:rPr>
        <w:t xml:space="preserve">People:</w:t>
      </w:r>
      <w:r>
        <w:t xml:space="preserve"> </w:t>
      </w:r>
      <w:r>
        <w:t xml:space="preserve">Dignity and equality, health and well-being, skills for the future</w:t>
      </w:r>
    </w:p>
    <w:p>
      <w:pPr>
        <w:pStyle w:val="Compact"/>
        <w:numPr>
          <w:ilvl w:val="0"/>
          <w:numId w:val="1030"/>
        </w:numPr>
      </w:pPr>
      <w:r>
        <w:rPr>
          <w:b/>
          <w:bCs/>
        </w:rPr>
        <w:t xml:space="preserve">Prosperity:</w:t>
      </w:r>
      <w:r>
        <w:t xml:space="preserve"> </w:t>
      </w:r>
      <w:r>
        <w:t xml:space="preserve">Employment and wealth generation, innovation of better products and services, community and social vitality</w:t>
      </w:r>
    </w:p>
    <w:bookmarkEnd w:id="51"/>
    <w:bookmarkStart w:id="53" w:name="operational-goals"/>
    <w:p>
      <w:pPr>
        <w:pStyle w:val="Heading3"/>
      </w:pPr>
      <w:r>
        <w:t xml:space="preserve">4.2.8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52" w:name="Xf520252cae06df522bd99dd04ecd11c97bb795d"/>
    <w:p>
      <w:pPr>
        <w:pStyle w:val="Heading4"/>
      </w:pPr>
      <w:r>
        <w:t xml:space="preserve">4.2.8.1 Returns to Investors in Publicly Traded Firms</w:t>
      </w:r>
    </w:p>
    <w:p>
      <w:pPr>
        <w:pStyle w:val="FirstParagraph"/>
      </w:pPr>
      <w:r>
        <w:t xml:space="preserve">The return to a shareholder in a publicly traded firm combines:</w:t>
      </w:r>
    </w:p>
    <w:p>
      <w:pPr>
        <w:pStyle w:val="Compact"/>
        <w:numPr>
          <w:ilvl w:val="0"/>
          <w:numId w:val="1031"/>
        </w:numPr>
      </w:pPr>
      <w:r>
        <w:rPr>
          <w:b/>
          <w:bCs/>
        </w:rPr>
        <w:t xml:space="preserve">Current income</w:t>
      </w:r>
      <w:r>
        <w:t xml:space="preserve"> </w:t>
      </w:r>
      <w:r>
        <w:t xml:space="preserve">in the form of dividends</w:t>
      </w:r>
    </w:p>
    <w:p>
      <w:pPr>
        <w:pStyle w:val="Compact"/>
        <w:numPr>
          <w:ilvl w:val="0"/>
          <w:numId w:val="1031"/>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32"/>
        </w:numPr>
      </w:pPr>
      <m:oMath>
        <m:sSub>
          <m:e>
            <m:r>
              <m:t>P</m:t>
            </m:r>
          </m:e>
          <m:sub>
            <m:r>
              <m:t>1</m:t>
            </m:r>
          </m:sub>
        </m:sSub>
      </m:oMath>
      <w:r>
        <w:t xml:space="preserve"> </w:t>
      </w:r>
      <w:r>
        <w:t xml:space="preserve">= Beginning price (initial investment by shareholder)</w:t>
      </w:r>
    </w:p>
    <w:p>
      <w:pPr>
        <w:pStyle w:val="Compact"/>
        <w:numPr>
          <w:ilvl w:val="0"/>
          <w:numId w:val="1032"/>
        </w:numPr>
      </w:pPr>
      <m:oMath>
        <m:sSub>
          <m:e>
            <m:r>
              <m:t>P</m:t>
            </m:r>
          </m:e>
          <m:sub>
            <m:r>
              <m:t>2</m:t>
            </m:r>
          </m:sub>
        </m:sSub>
      </m:oMath>
      <w:r>
        <w:t xml:space="preserve"> </w:t>
      </w:r>
      <w:r>
        <w:t xml:space="preserve">= Price of share at end of period</w:t>
      </w:r>
    </w:p>
    <w:p>
      <w:pPr>
        <w:pStyle w:val="Compact"/>
        <w:numPr>
          <w:ilvl w:val="0"/>
          <w:numId w:val="1032"/>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p>
      <w:pPr>
        <w:pStyle w:val="BodyText"/>
      </w:pPr>
      <w:r>
        <w:rPr>
          <w:b/>
          <w:bCs/>
        </w:rPr>
        <w:t xml:space="preserve">Management’s Influence on Returns</w:t>
      </w:r>
    </w:p>
    <w:p>
      <w:pPr>
        <w:pStyle w:val="Compact"/>
        <w:numPr>
          <w:ilvl w:val="0"/>
          <w:numId w:val="1033"/>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33"/>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52"/>
    <w:bookmarkEnd w:id="53"/>
    <w:bookmarkStart w:id="54" w:name="the-case-of-apple"/>
    <w:p>
      <w:pPr>
        <w:pStyle w:val="Heading3"/>
      </w:pPr>
      <w:r>
        <w:t xml:space="preserve">4.2.9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119"/>
        <w:gridCol w:w="5800"/>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54"/>
    <w:bookmarkStart w:id="59" w:name="X7636a809552138e5e8bf525db4df589b0b0b393"/>
    <w:p>
      <w:pPr>
        <w:pStyle w:val="Heading3"/>
      </w:pPr>
      <w:r>
        <w:t xml:space="preserve">4.2.10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34"/>
        </w:numPr>
      </w:pPr>
      <w:r>
        <w:t xml:space="preserve">The privately held firm does not have a share price</w:t>
      </w:r>
    </w:p>
    <w:p>
      <w:pPr>
        <w:pStyle w:val="Compact"/>
        <w:numPr>
          <w:ilvl w:val="0"/>
          <w:numId w:val="1034"/>
        </w:numPr>
      </w:pPr>
      <w:r>
        <w:t xml:space="preserve">It does have a value, but this is not a definitive market-determined value</w:t>
      </w:r>
    </w:p>
    <w:p>
      <w:pPr>
        <w:pStyle w:val="Compact"/>
        <w:numPr>
          <w:ilvl w:val="0"/>
          <w:numId w:val="1034"/>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35"/>
        </w:numPr>
      </w:pPr>
      <w:r>
        <w:t xml:space="preserve">The family may place great emphasis on the ability to sustain earnings over time while maintaining a slower rate of growth</w:t>
      </w:r>
    </w:p>
    <w:p>
      <w:pPr>
        <w:pStyle w:val="Compact"/>
        <w:numPr>
          <w:ilvl w:val="0"/>
          <w:numId w:val="1035"/>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35"/>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Start w:id="55" w:name="X6c2ca71a8878fd297651548dfa3065e0a8bfdf8"/>
    <w:p>
      <w:pPr>
        <w:pStyle w:val="Heading4"/>
      </w:pPr>
      <w:r>
        <w:t xml:space="preserve">4.2.10.1 Exhibit 4.3 - Public versus Private Ownership</w:t>
      </w:r>
    </w:p>
    <w:tbl>
      <w:tblPr>
        <w:tblStyle w:val="Table"/>
        <w:tblW w:type="pct" w:w="5000"/>
        <w:tblLayout w:type="fixed"/>
        <w:tblLook w:firstRow="1" w:lastRow="0" w:firstColumn="0" w:lastColumn="0" w:noHBand="0" w:noVBand="0" w:val="0020"/>
      </w:tblPr>
      <w:tblGrid>
        <w:gridCol w:w="1952"/>
        <w:gridCol w:w="1952"/>
        <w:gridCol w:w="2061"/>
        <w:gridCol w:w="1952"/>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55"/>
    <w:bookmarkStart w:id="56" w:name="operational-goals-for-mnes"/>
    <w:p>
      <w:pPr>
        <w:pStyle w:val="Heading4"/>
      </w:pPr>
      <w:r>
        <w:t xml:space="preserve">4.2.10.2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36"/>
        </w:numPr>
      </w:pPr>
      <w:r>
        <w:rPr>
          <w:b/>
          <w:bCs/>
        </w:rPr>
        <w:t xml:space="preserve">Maximization of consolidated after-tax income</w:t>
      </w:r>
    </w:p>
    <w:p>
      <w:pPr>
        <w:pStyle w:val="Compact"/>
        <w:numPr>
          <w:ilvl w:val="0"/>
          <w:numId w:val="1036"/>
        </w:numPr>
      </w:pPr>
      <w:r>
        <w:rPr>
          <w:b/>
          <w:bCs/>
        </w:rPr>
        <w:t xml:space="preserve">Minimization of the firm’s effective global tax burden</w:t>
      </w:r>
    </w:p>
    <w:p>
      <w:pPr>
        <w:pStyle w:val="Compact"/>
        <w:numPr>
          <w:ilvl w:val="0"/>
          <w:numId w:val="1036"/>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56"/>
    <w:bookmarkStart w:id="57" w:name="consolidated-profits"/>
    <w:p>
      <w:pPr>
        <w:pStyle w:val="Heading4"/>
      </w:pPr>
      <w:r>
        <w:t xml:space="preserve">4.2.10.3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37"/>
        </w:numPr>
      </w:pPr>
      <w:r>
        <w:t xml:space="preserve">Consolidated profits are the profits of all the individual units of the firm, all of its foreign branches and subsidiaries</w:t>
      </w:r>
    </w:p>
    <w:p>
      <w:pPr>
        <w:pStyle w:val="Compact"/>
        <w:numPr>
          <w:ilvl w:val="0"/>
          <w:numId w:val="1037"/>
        </w:numPr>
      </w:pPr>
      <w:r>
        <w:t xml:space="preserve">All foreign subsidiaries have their own set of local currency financial statements needed for incorporation and tax obligations</w:t>
      </w:r>
    </w:p>
    <w:p>
      <w:pPr>
        <w:pStyle w:val="Compact"/>
        <w:numPr>
          <w:ilvl w:val="0"/>
          <w:numId w:val="1037"/>
        </w:numPr>
      </w:pPr>
      <w:r>
        <w:t xml:space="preserve">The MNE must combine all of their financial results, originating in many different currencies, for reporting in the currency of the parent</w:t>
      </w:r>
    </w:p>
    <w:bookmarkEnd w:id="57"/>
    <w:bookmarkStart w:id="58" w:name="publicprivate-hybrids"/>
    <w:p>
      <w:pPr>
        <w:pStyle w:val="Heading4"/>
      </w:pPr>
      <w:r>
        <w:t xml:space="preserve">4.2.10.4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p>
      <w:pPr>
        <w:pStyle w:val="BodyText"/>
      </w:pPr>
      <w:r>
        <w:rPr>
          <w:b/>
          <w:bCs/>
        </w:rPr>
        <w:t xml:space="preserve">NOTE</w:t>
      </w:r>
      <w:r>
        <w:t xml:space="preserve"> </w:t>
      </w:r>
      <w:r>
        <w:t xml:space="preserve">Sometime these work, sometimes these don’t. The US Postal Service is an example of a US Public/Private Hybrid. We call them</w:t>
      </w:r>
      <w:r>
        <w:t xml:space="preserve"> </w:t>
      </w:r>
      <w:r>
        <w:t xml:space="preserve">“quasi-governmental”</w:t>
      </w:r>
      <w:r>
        <w:t xml:space="preserve"> </w:t>
      </w:r>
      <w:r>
        <w:t xml:space="preserve">agencies.</w:t>
      </w:r>
    </w:p>
    <w:bookmarkEnd w:id="58"/>
    <w:bookmarkEnd w:id="59"/>
    <w:bookmarkStart w:id="64" w:name="activist-investors"/>
    <w:p>
      <w:pPr>
        <w:pStyle w:val="Heading3"/>
      </w:pPr>
      <w:r>
        <w:t xml:space="preserve">4.2.11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p>
      <w:pPr>
        <w:pStyle w:val="BodyText"/>
      </w:pPr>
      <w:r>
        <w:rPr>
          <w:b/>
          <w:bCs/>
        </w:rPr>
        <w:t xml:space="preserve">What Are Activist Investors?</w:t>
      </w:r>
    </w:p>
    <w:p>
      <w:pPr>
        <w:pStyle w:val="BodyText"/>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38"/>
        </w:numPr>
      </w:pPr>
      <w:r>
        <w:t xml:space="preserve">Carl Icahn - Icahn Enterprises</w:t>
      </w:r>
    </w:p>
    <w:p>
      <w:pPr>
        <w:pStyle w:val="Compact"/>
        <w:numPr>
          <w:ilvl w:val="0"/>
          <w:numId w:val="1038"/>
        </w:numPr>
      </w:pPr>
      <w:r>
        <w:t xml:space="preserve">Nelson Peltz - Trian Partners</w:t>
      </w:r>
    </w:p>
    <w:p>
      <w:pPr>
        <w:pStyle w:val="Compact"/>
        <w:numPr>
          <w:ilvl w:val="0"/>
          <w:numId w:val="1038"/>
        </w:numPr>
      </w:pPr>
      <w:r>
        <w:t xml:space="preserve">William Ackman - Pershing Square Capital Management</w:t>
      </w:r>
    </w:p>
    <w:p>
      <w:pPr>
        <w:pStyle w:val="Compact"/>
        <w:numPr>
          <w:ilvl w:val="0"/>
          <w:numId w:val="1038"/>
        </w:numPr>
      </w:pPr>
      <w:r>
        <w:t xml:space="preserve">Daniel Loeb - Third Point LLC</w:t>
      </w:r>
    </w:p>
    <w:p>
      <w:pPr>
        <w:pStyle w:val="Compact"/>
        <w:numPr>
          <w:ilvl w:val="0"/>
          <w:numId w:val="1038"/>
        </w:numPr>
      </w:pPr>
      <w:r>
        <w:t xml:space="preserve">Paul Singer - Elliott Management</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Start w:id="63" w:name="the-activists-playbook"/>
    <w:p>
      <w:pPr>
        <w:pStyle w:val="Heading4"/>
      </w:pPr>
      <w:r>
        <w:t xml:space="preserve">4.2.11.1 The Activist’s Playbook</w:t>
      </w:r>
    </w:p>
    <w:p>
      <w:pPr>
        <w:pStyle w:val="CaptionedFigure"/>
      </w:pPr>
      <w:r>
        <w:drawing>
          <wp:inline>
            <wp:extent cx="3733800" cy="1697436"/>
            <wp:effectExtent b="0" l="0" r="0" t="0"/>
            <wp:docPr descr="The Activist’s Playbook" title="" id="61" name="Picture"/>
            <a:graphic>
              <a:graphicData uri="http://schemas.openxmlformats.org/drawingml/2006/picture">
                <pic:pic>
                  <pic:nvPicPr>
                    <pic:cNvPr descr="../assets/images/Ch04/Exhibit_4.jpg" id="62" name="Picture"/>
                    <pic:cNvPicPr>
                      <a:picLocks noChangeArrowheads="1" noChangeAspect="1"/>
                    </pic:cNvPicPr>
                  </pic:nvPicPr>
                  <pic:blipFill>
                    <a:blip r:embed="rId60"/>
                    <a:stretch>
                      <a:fillRect/>
                    </a:stretch>
                  </pic:blipFill>
                  <pic:spPr bwMode="auto">
                    <a:xfrm>
                      <a:off x="0" y="0"/>
                      <a:ext cx="3733800" cy="1697436"/>
                    </a:xfrm>
                    <a:prstGeom prst="rect">
                      <a:avLst/>
                    </a:prstGeom>
                    <a:noFill/>
                    <a:ln w="9525">
                      <a:noFill/>
                      <a:headEnd/>
                      <a:tailEnd/>
                    </a:ln>
                  </pic:spPr>
                </pic:pic>
              </a:graphicData>
            </a:graphic>
          </wp:inline>
        </w:drawing>
      </w:r>
    </w:p>
    <w:p>
      <w:pPr>
        <w:pStyle w:val="ImageCaption"/>
      </w:pPr>
      <w:r>
        <w:t xml:space="preserve">The Activist’s Playbook</w:t>
      </w:r>
    </w:p>
    <w:p>
      <w:pPr>
        <w:pStyle w:val="BodyText"/>
      </w:pPr>
      <w:r>
        <w:rPr>
          <w:b/>
          <w:bCs/>
        </w:rPr>
        <w:t xml:space="preserve">Strategic Changes Advocated:</w:t>
      </w:r>
    </w:p>
    <w:p>
      <w:pPr>
        <w:pStyle w:val="Compact"/>
        <w:numPr>
          <w:ilvl w:val="0"/>
          <w:numId w:val="1039"/>
        </w:numPr>
      </w:pPr>
      <w:r>
        <w:t xml:space="preserve">Cut costs (including executive compensation)</w:t>
      </w:r>
    </w:p>
    <w:p>
      <w:pPr>
        <w:pStyle w:val="Compact"/>
        <w:numPr>
          <w:ilvl w:val="0"/>
          <w:numId w:val="1039"/>
        </w:numPr>
      </w:pPr>
      <w:r>
        <w:t xml:space="preserve">Sell off non-core businesses (</w:t>
      </w:r>
      <w:r>
        <w:t xml:space="preserve">“liquidate businesses or assets for cash”</w:t>
      </w:r>
      <w:r>
        <w:t xml:space="preserve">)</w:t>
      </w:r>
    </w:p>
    <w:p>
      <w:pPr>
        <w:pStyle w:val="Compact"/>
        <w:numPr>
          <w:ilvl w:val="0"/>
          <w:numId w:val="1039"/>
        </w:numPr>
      </w:pPr>
      <w:r>
        <w:t xml:space="preserve">Actively restructure to reduce global tax obligations</w:t>
      </w:r>
    </w:p>
    <w:p>
      <w:pPr>
        <w:pStyle w:val="Compact"/>
        <w:numPr>
          <w:ilvl w:val="0"/>
          <w:numId w:val="1039"/>
        </w:numPr>
      </w:pPr>
      <w:r>
        <w:t xml:space="preserve">Put company</w:t>
      </w:r>
      <w:r>
        <w:t xml:space="preserve"> </w:t>
      </w:r>
      <w:r>
        <w:t xml:space="preserve">“in play”</w:t>
      </w:r>
      <w:r>
        <w:t xml:space="preserve"> </w:t>
      </w:r>
      <w:r>
        <w:t xml:space="preserve">to be acquired</w:t>
      </w:r>
    </w:p>
    <w:p>
      <w:pPr>
        <w:pStyle w:val="Compact"/>
        <w:numPr>
          <w:ilvl w:val="0"/>
          <w:numId w:val="1039"/>
        </w:numPr>
      </w:pPr>
      <w:r>
        <w:t xml:space="preserve">Narrow/define business strategy</w:t>
      </w:r>
    </w:p>
    <w:p>
      <w:pPr>
        <w:pStyle w:val="FirstParagraph"/>
      </w:pPr>
      <w:r>
        <w:rPr>
          <w:b/>
          <w:bCs/>
        </w:rPr>
        <w:t xml:space="preserve">Financial Changes Advocated:</w:t>
      </w:r>
    </w:p>
    <w:p>
      <w:pPr>
        <w:pStyle w:val="Compact"/>
        <w:numPr>
          <w:ilvl w:val="0"/>
          <w:numId w:val="1040"/>
        </w:numPr>
      </w:pPr>
      <w:r>
        <w:t xml:space="preserve">Increase debt to increase cash availability for dividends</w:t>
      </w:r>
    </w:p>
    <w:p>
      <w:pPr>
        <w:pStyle w:val="Compact"/>
        <w:numPr>
          <w:ilvl w:val="0"/>
          <w:numId w:val="1040"/>
        </w:numPr>
      </w:pPr>
      <w:r>
        <w:t xml:space="preserve">Reduce new investment (both capital expenditures and acquisitions)</w:t>
      </w:r>
    </w:p>
    <w:p>
      <w:pPr>
        <w:pStyle w:val="Compact"/>
        <w:numPr>
          <w:ilvl w:val="0"/>
          <w:numId w:val="104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41"/>
        </w:numPr>
      </w:pPr>
      <w:r>
        <w:t xml:space="preserve">Reduction of debt</w:t>
      </w:r>
    </w:p>
    <w:p>
      <w:pPr>
        <w:pStyle w:val="Compact"/>
        <w:numPr>
          <w:ilvl w:val="0"/>
          <w:numId w:val="1041"/>
        </w:numPr>
      </w:pPr>
      <w:r>
        <w:t xml:space="preserve">New acquisitions</w:t>
      </w:r>
    </w:p>
    <w:bookmarkEnd w:id="63"/>
    <w:bookmarkEnd w:id="64"/>
    <w:bookmarkStart w:id="65" w:name="perspectives-on-activist-investing"/>
    <w:p>
      <w:pPr>
        <w:pStyle w:val="Heading3"/>
      </w:pPr>
      <w:r>
        <w:t xml:space="preserve">4.2.12 Perspectives on Activist Investing</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65"/>
    <w:bookmarkEnd w:id="66"/>
    <w:bookmarkStart w:id="80" w:name="corporate-governance"/>
    <w:p>
      <w:pPr>
        <w:pStyle w:val="Heading2"/>
      </w:pPr>
      <w:r>
        <w:t xml:space="preserve">4.3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p>
      <w:pPr>
        <w:pStyle w:val="BodyText"/>
      </w:pPr>
      <w:r>
        <w:rPr>
          <w:b/>
          <w:bCs/>
        </w:rPr>
        <w:t xml:space="preserve">Recent Governance Failures</w:t>
      </w:r>
    </w:p>
    <w:p>
      <w:pPr>
        <w:pStyle w:val="BodyText"/>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Start w:id="67" w:name="the-structure-of-governance"/>
    <w:p>
      <w:pPr>
        <w:pStyle w:val="Heading3"/>
      </w:pPr>
      <w:r>
        <w:t xml:space="preserve">4.3.1 The Structure of Governance</w:t>
      </w:r>
    </w:p>
    <w:p>
      <w:pPr>
        <w:pStyle w:val="FirstParagraph"/>
      </w:pPr>
      <w:r>
        <w:t xml:space="preserve">Our first challenge is to understand what people mean when they use the expression</w:t>
      </w:r>
      <w:r>
        <w:t xml:space="preserve"> </w:t>
      </w:r>
      <w:r>
        <w:t xml:space="preserve">“corporate governance.”</w:t>
      </w:r>
    </w:p>
    <w:p>
      <w:pPr>
        <w:pStyle w:val="BodyText"/>
      </w:pPr>
      <w:r>
        <w:rPr>
          <w:b/>
          <w:bCs/>
        </w:rPr>
        <w:t xml:space="preserve">Internal vs. External Forces</w:t>
      </w:r>
    </w:p>
    <w:p>
      <w:pPr>
        <w:pStyle w:val="BodyText"/>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42"/>
        </w:numPr>
      </w:pPr>
      <w:r>
        <w:t xml:space="preserve">Officers of the corporation (CEO, CFO, etc.)</w:t>
      </w:r>
    </w:p>
    <w:p>
      <w:pPr>
        <w:pStyle w:val="Compact"/>
        <w:numPr>
          <w:ilvl w:val="0"/>
          <w:numId w:val="1042"/>
        </w:numPr>
      </w:pPr>
      <w:r>
        <w:t xml:space="preserve">Board of directors (including the chairman of the board)</w:t>
      </w:r>
    </w:p>
    <w:p>
      <w:pPr>
        <w:pStyle w:val="Compact"/>
        <w:numPr>
          <w:ilvl w:val="0"/>
          <w:numId w:val="104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43"/>
        </w:numPr>
      </w:pPr>
      <w:r>
        <w:rPr>
          <w:b/>
          <w:bCs/>
        </w:rPr>
        <w:t xml:space="preserve">Equity markets:</w:t>
      </w:r>
      <w:r>
        <w:t xml:space="preserve"> </w:t>
      </w:r>
      <w:r>
        <w:t xml:space="preserve">Stock exchanges on which the company’s shares are traded</w:t>
      </w:r>
    </w:p>
    <w:p>
      <w:pPr>
        <w:pStyle w:val="Compact"/>
        <w:numPr>
          <w:ilvl w:val="0"/>
          <w:numId w:val="1043"/>
        </w:numPr>
      </w:pPr>
      <w:r>
        <w:rPr>
          <w:b/>
          <w:bCs/>
        </w:rPr>
        <w:t xml:space="preserve">Investment banking analysts:</w:t>
      </w:r>
      <w:r>
        <w:t xml:space="preserve"> </w:t>
      </w:r>
      <w:r>
        <w:t xml:space="preserve">Cover and critique the company shares</w:t>
      </w:r>
    </w:p>
    <w:p>
      <w:pPr>
        <w:pStyle w:val="Compact"/>
        <w:numPr>
          <w:ilvl w:val="0"/>
          <w:numId w:val="1043"/>
        </w:numPr>
      </w:pPr>
      <w:r>
        <w:rPr>
          <w:b/>
          <w:bCs/>
        </w:rPr>
        <w:t xml:space="preserve">Creditors:</w:t>
      </w:r>
      <w:r>
        <w:t xml:space="preserve"> </w:t>
      </w:r>
      <w:r>
        <w:t xml:space="preserve">Provide debt financing</w:t>
      </w:r>
    </w:p>
    <w:p>
      <w:pPr>
        <w:pStyle w:val="Compact"/>
        <w:numPr>
          <w:ilvl w:val="0"/>
          <w:numId w:val="1043"/>
        </w:numPr>
      </w:pPr>
      <w:r>
        <w:rPr>
          <w:b/>
          <w:bCs/>
        </w:rPr>
        <w:t xml:space="preserve">Credit rating agencies:</w:t>
      </w:r>
      <w:r>
        <w:t xml:space="preserve"> </w:t>
      </w:r>
      <w:r>
        <w:t xml:space="preserve">Assign credit ratings to the company’s debt or equity securities</w:t>
      </w:r>
    </w:p>
    <w:p>
      <w:pPr>
        <w:pStyle w:val="Compact"/>
        <w:numPr>
          <w:ilvl w:val="0"/>
          <w:numId w:val="104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43"/>
        </w:numPr>
      </w:pPr>
      <w:r>
        <w:rPr>
          <w:b/>
          <w:bCs/>
        </w:rPr>
        <w:t xml:space="preserve">Regulators:</w:t>
      </w:r>
      <w:r>
        <w:t xml:space="preserve"> </w:t>
      </w:r>
      <w:r>
        <w:t xml:space="preserve">Oversee the company’s actions</w:t>
      </w:r>
    </w:p>
    <w:p>
      <w:pPr>
        <w:pStyle w:val="FirstParagraph"/>
      </w:pPr>
      <w:r>
        <w:rPr>
          <w:b/>
          <w:bCs/>
        </w:rPr>
        <w:t xml:space="preserve">Exhibit 4.5 - Structure of Corporate Governance for a US firm.</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67"/>
    <w:bookmarkStart w:id="68" w:name="comparative-corporate-governance"/>
    <w:p>
      <w:pPr>
        <w:pStyle w:val="Heading3"/>
      </w:pPr>
      <w:r>
        <w:t xml:space="preserve">4.3.2 Comparative Corporate Governance</w:t>
      </w:r>
    </w:p>
    <w:p>
      <w:pPr>
        <w:pStyle w:val="FirstParagraph"/>
      </w:pPr>
      <w:r>
        <w:t xml:space="preserve">The origins of the need for a corporate governance process arise from:</w:t>
      </w:r>
    </w:p>
    <w:p>
      <w:pPr>
        <w:pStyle w:val="Compact"/>
        <w:numPr>
          <w:ilvl w:val="0"/>
          <w:numId w:val="1044"/>
        </w:numPr>
      </w:pPr>
      <w:r>
        <w:t xml:space="preserve">The separation of ownership from management</w:t>
      </w:r>
    </w:p>
    <w:p>
      <w:pPr>
        <w:pStyle w:val="Compact"/>
        <w:numPr>
          <w:ilvl w:val="0"/>
          <w:numId w:val="104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End w:id="68"/>
    <w:bookmarkStart w:id="73" w:name="classification-by-evolution-of-ownership"/>
    <w:p>
      <w:pPr>
        <w:pStyle w:val="Heading3"/>
      </w:pPr>
      <w:r>
        <w:t xml:space="preserve">4.3.3 Classification by Evolution of Ownership</w:t>
      </w:r>
    </w:p>
    <w:p>
      <w:pPr>
        <w:pStyle w:val="FirstParagraph"/>
      </w:pPr>
      <w:r>
        <w:rPr>
          <w:b/>
          <w:bCs/>
        </w:rPr>
        <w:t xml:space="preserve">Market-Based Regimes (U.S., Canada, UK):</w:t>
      </w:r>
    </w:p>
    <w:p>
      <w:pPr>
        <w:pStyle w:val="Compact"/>
        <w:numPr>
          <w:ilvl w:val="0"/>
          <w:numId w:val="1045"/>
        </w:numPr>
      </w:pPr>
      <w:r>
        <w:t xml:space="preserve">Characterized by relatively efficient capital markets</w:t>
      </w:r>
    </w:p>
    <w:p>
      <w:pPr>
        <w:pStyle w:val="Compact"/>
        <w:numPr>
          <w:ilvl w:val="0"/>
          <w:numId w:val="104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46"/>
        </w:numPr>
      </w:pPr>
      <w:r>
        <w:t xml:space="preserve">Started with strong concentrations of family ownership</w:t>
      </w:r>
    </w:p>
    <w:p>
      <w:pPr>
        <w:pStyle w:val="Compact"/>
        <w:numPr>
          <w:ilvl w:val="0"/>
          <w:numId w:val="1046"/>
        </w:numPr>
      </w:pPr>
      <w:r>
        <w:t xml:space="preserve">Have continued to be largely controlled by families even after going public</w:t>
      </w:r>
    </w:p>
    <w:p>
      <w:pPr>
        <w:pStyle w:val="Compact"/>
        <w:numPr>
          <w:ilvl w:val="0"/>
          <w:numId w:val="104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47"/>
        </w:numPr>
      </w:pPr>
      <w:r>
        <w:t xml:space="preserve">Markets in which government ownership of property and industry has been a constant over time</w:t>
      </w:r>
    </w:p>
    <w:p>
      <w:pPr>
        <w:pStyle w:val="Compact"/>
        <w:numPr>
          <w:ilvl w:val="0"/>
          <w:numId w:val="1047"/>
        </w:numPr>
      </w:pPr>
      <w:r>
        <w:t xml:space="preserve">Resulting in only marginal public ownership of enterprise</w:t>
      </w:r>
    </w:p>
    <w:p>
      <w:pPr>
        <w:pStyle w:val="Compact"/>
        <w:numPr>
          <w:ilvl w:val="0"/>
          <w:numId w:val="1047"/>
        </w:numPr>
      </w:pPr>
      <w:r>
        <w:t xml:space="preserve">Subject to significant restrictions on business practices</w:t>
      </w:r>
    </w:p>
    <w:p>
      <w:pPr>
        <w:pStyle w:val="FirstParagraph"/>
      </w:pPr>
      <w:r>
        <w:rPr>
          <w:b/>
          <w:bCs/>
        </w:rPr>
        <w:t xml:space="preserve">Four Major Factors in Corporate Governance</w:t>
      </w:r>
    </w:p>
    <w:p>
      <w:pPr>
        <w:pStyle w:val="BodyText"/>
      </w:pPr>
      <w:r>
        <w:t xml:space="preserve">All exchange rate regimes are a function of at least four major factors in the evolution of corporate governance principles and practices globally:</w:t>
      </w:r>
    </w:p>
    <w:bookmarkStart w:id="69" w:name="financial-market-development"/>
    <w:p>
      <w:pPr>
        <w:pStyle w:val="Heading4"/>
      </w:pPr>
      <w:r>
        <w:t xml:space="preserve">4.3.3.1 1. Financial Market Development</w:t>
      </w:r>
    </w:p>
    <w:p>
      <w:pPr>
        <w:pStyle w:val="Compact"/>
        <w:numPr>
          <w:ilvl w:val="0"/>
          <w:numId w:val="1048"/>
        </w:numPr>
      </w:pPr>
      <w:r>
        <w:t xml:space="preserve">The depth and breadth of capital markets are critical to the evolution of corporate governance practices</w:t>
      </w:r>
    </w:p>
    <w:p>
      <w:pPr>
        <w:pStyle w:val="Compact"/>
        <w:numPr>
          <w:ilvl w:val="0"/>
          <w:numId w:val="1048"/>
        </w:numPr>
      </w:pPr>
      <w:r>
        <w:t xml:space="preserve">Country markets that have had relatively low growth or have industrialized rapidly utilizing neighboring capital markets may not form large public equity market systems</w:t>
      </w:r>
    </w:p>
    <w:p>
      <w:pPr>
        <w:pStyle w:val="Compact"/>
        <w:numPr>
          <w:ilvl w:val="0"/>
          <w:numId w:val="1048"/>
        </w:numPr>
      </w:pPr>
      <w:r>
        <w:t xml:space="preserve">Without significant public trading of ownership shares, high concentrations of ownership are preserved and few disciplined processes of governance are developed</w:t>
      </w:r>
    </w:p>
    <w:bookmarkEnd w:id="69"/>
    <w:bookmarkStart w:id="70" w:name="separation-of-management-and-ownership"/>
    <w:p>
      <w:pPr>
        <w:pStyle w:val="Heading4"/>
      </w:pPr>
      <w:r>
        <w:t xml:space="preserve">4.3.3.2 2. Separation of Management and Ownership</w:t>
      </w:r>
    </w:p>
    <w:p>
      <w:pPr>
        <w:pStyle w:val="Compact"/>
        <w:numPr>
          <w:ilvl w:val="0"/>
          <w:numId w:val="1049"/>
        </w:numPr>
      </w:pPr>
      <w:r>
        <w:t xml:space="preserve">In countries and cultures where the ownership of the firm has continued to be an integral part of management, agency issues and failures have been less problematic</w:t>
      </w:r>
    </w:p>
    <w:p>
      <w:pPr>
        <w:pStyle w:val="Compact"/>
        <w:numPr>
          <w:ilvl w:val="0"/>
          <w:numId w:val="1049"/>
        </w:numPr>
      </w:pPr>
      <w:r>
        <w:t xml:space="preserve">Family-based ownership maintains the owner-operator link</w:t>
      </w:r>
    </w:p>
    <w:p>
      <w:pPr>
        <w:pStyle w:val="Compact"/>
        <w:numPr>
          <w:ilvl w:val="0"/>
          <w:numId w:val="1049"/>
        </w:numPr>
      </w:pPr>
      <w:r>
        <w:t xml:space="preserve">In countries like the United States, where ownership has become largely separated from management (and widely dispersed), aligning the goals of management and ownership is much more difficult</w:t>
      </w:r>
    </w:p>
    <w:bookmarkEnd w:id="70"/>
    <w:bookmarkStart w:id="71" w:name="disclosure-and-transparency"/>
    <w:p>
      <w:pPr>
        <w:pStyle w:val="Heading4"/>
      </w:pPr>
      <w:r>
        <w:t xml:space="preserve">4.3.3.3 3. Disclosure and Transparency</w:t>
      </w:r>
    </w:p>
    <w:p>
      <w:pPr>
        <w:pStyle w:val="Compact"/>
        <w:numPr>
          <w:ilvl w:val="0"/>
          <w:numId w:val="1050"/>
        </w:numPr>
      </w:pPr>
      <w:r>
        <w:t xml:space="preserve">The extent of disclosure regarding the operations and financial results of a company varies dramatically across countries</w:t>
      </w:r>
    </w:p>
    <w:p>
      <w:pPr>
        <w:pStyle w:val="Compact"/>
        <w:numPr>
          <w:ilvl w:val="0"/>
          <w:numId w:val="1050"/>
        </w:numPr>
      </w:pPr>
      <w:r>
        <w:t xml:space="preserve">Disclosure practices reflect a wide range of cultural and social forces</w:t>
      </w:r>
    </w:p>
    <w:p>
      <w:pPr>
        <w:pStyle w:val="Compact"/>
        <w:numPr>
          <w:ilvl w:val="0"/>
          <w:numId w:val="1050"/>
        </w:numPr>
      </w:pPr>
      <w:r>
        <w:rPr>
          <w:b/>
          <w:bCs/>
        </w:rPr>
        <w:t xml:space="preserve">Transparency</w:t>
      </w:r>
      <w:r>
        <w:t xml:space="preserve">, a parallel concept to disclosure, reflects the visibility of decision-making processes within the business organization</w:t>
      </w:r>
    </w:p>
    <w:bookmarkEnd w:id="71"/>
    <w:bookmarkStart w:id="72" w:name="X933d33903e75c620d985b0cb7073021a9688fbb"/>
    <w:p>
      <w:pPr>
        <w:pStyle w:val="Heading4"/>
      </w:pPr>
      <w:r>
        <w:t xml:space="preserve">4.3.3.4 4. Historical Development of the Legal System</w:t>
      </w:r>
    </w:p>
    <w:p>
      <w:pPr>
        <w:pStyle w:val="FirstParagraph"/>
      </w:pPr>
      <w:r>
        <w:rPr>
          <w:b/>
          <w:bCs/>
        </w:rPr>
        <w:t xml:space="preserve">English Common Law:</w:t>
      </w:r>
    </w:p>
    <w:p>
      <w:pPr>
        <w:pStyle w:val="Compact"/>
        <w:numPr>
          <w:ilvl w:val="0"/>
          <w:numId w:val="1051"/>
        </w:numPr>
      </w:pPr>
      <w:r>
        <w:t xml:space="preserve">Investor protection is typically better in countries where English common law is the basis of the legal system</w:t>
      </w:r>
    </w:p>
    <w:p>
      <w:pPr>
        <w:pStyle w:val="Compact"/>
        <w:numPr>
          <w:ilvl w:val="0"/>
          <w:numId w:val="105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52"/>
        </w:numPr>
      </w:pPr>
      <w:r>
        <w:t xml:space="preserve">Typical in France and Germany</w:t>
      </w:r>
    </w:p>
    <w:p>
      <w:pPr>
        <w:pStyle w:val="Compact"/>
        <w:numPr>
          <w:ilvl w:val="0"/>
          <w:numId w:val="105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72"/>
    <w:bookmarkEnd w:id="73"/>
    <w:bookmarkStart w:id="74" w:name="insider-vs.-outsider-regimes"/>
    <w:p>
      <w:pPr>
        <w:pStyle w:val="Heading3"/>
      </w:pPr>
      <w:r>
        <w:t xml:space="preserve">4.3.4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760"/>
        <w:gridCol w:w="3300"/>
        <w:gridCol w:w="2860"/>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74"/>
    <w:bookmarkStart w:id="75" w:name="notable-governance-failures"/>
    <w:p>
      <w:pPr>
        <w:pStyle w:val="Heading3"/>
      </w:pPr>
      <w:r>
        <w:t xml:space="preserve">4.3.5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53"/>
        </w:numPr>
      </w:pPr>
      <w:r>
        <w:t xml:space="preserve">WorldCom</w:t>
      </w:r>
    </w:p>
    <w:p>
      <w:pPr>
        <w:pStyle w:val="Compact"/>
        <w:numPr>
          <w:ilvl w:val="0"/>
          <w:numId w:val="1053"/>
        </w:numPr>
      </w:pPr>
      <w:r>
        <w:t xml:space="preserve">Parmalat</w:t>
      </w:r>
    </w:p>
    <w:p>
      <w:pPr>
        <w:pStyle w:val="Compact"/>
        <w:numPr>
          <w:ilvl w:val="0"/>
          <w:numId w:val="1053"/>
        </w:numPr>
      </w:pPr>
      <w:r>
        <w:t xml:space="preserve">Tyco</w:t>
      </w:r>
    </w:p>
    <w:p>
      <w:pPr>
        <w:pStyle w:val="Compact"/>
        <w:numPr>
          <w:ilvl w:val="0"/>
          <w:numId w:val="1053"/>
        </w:numPr>
      </w:pPr>
      <w:r>
        <w:t xml:space="preserve">Adelphia</w:t>
      </w:r>
    </w:p>
    <w:p>
      <w:pPr>
        <w:pStyle w:val="Compact"/>
        <w:numPr>
          <w:ilvl w:val="0"/>
          <w:numId w:val="1053"/>
        </w:numPr>
      </w:pPr>
      <w:r>
        <w:t xml:space="preserve">HealthSouth</w:t>
      </w:r>
    </w:p>
    <w:p>
      <w:pPr>
        <w:pStyle w:val="FirstParagraph"/>
      </w:pPr>
      <w:r>
        <w:t xml:space="preserve">In each case:</w:t>
      </w:r>
    </w:p>
    <w:p>
      <w:pPr>
        <w:pStyle w:val="Compact"/>
        <w:numPr>
          <w:ilvl w:val="0"/>
          <w:numId w:val="1054"/>
        </w:numPr>
      </w:pPr>
      <w:r>
        <w:t xml:space="preserve">Prestigious auditing firms missed the violations or minimized them</w:t>
      </w:r>
    </w:p>
    <w:p>
      <w:pPr>
        <w:pStyle w:val="Compact"/>
        <w:numPr>
          <w:ilvl w:val="0"/>
          <w:numId w:val="1054"/>
        </w:numPr>
      </w:pPr>
      <w:r>
        <w:t xml:space="preserve">Security analysts and banks urged investors to buy shares and debt issues of firms they knew to be highly risky</w:t>
      </w:r>
    </w:p>
    <w:p>
      <w:pPr>
        <w:pStyle w:val="Compact"/>
        <w:numPr>
          <w:ilvl w:val="0"/>
          <w:numId w:val="1054"/>
        </w:numPr>
      </w:pPr>
      <w:r>
        <w:t xml:space="preserve">Most top executives responsible for mismanagement often walked away with huge gains on shares sold before the downfall and overly generous severance packages</w:t>
      </w:r>
    </w:p>
    <w:bookmarkEnd w:id="75"/>
    <w:bookmarkStart w:id="76" w:name="the-volkswagen-case"/>
    <w:p>
      <w:pPr>
        <w:pStyle w:val="Heading3"/>
      </w:pPr>
      <w:r>
        <w:t xml:space="preserve">4.3.6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55"/>
        </w:numPr>
      </w:pPr>
      <w:r>
        <w:t xml:space="preserve">Dual-class ownership structure of common and preferred shares</w:t>
      </w:r>
    </w:p>
    <w:p>
      <w:pPr>
        <w:pStyle w:val="Compact"/>
        <w:numPr>
          <w:ilvl w:val="0"/>
          <w:numId w:val="1055"/>
        </w:numPr>
      </w:pPr>
      <w:r>
        <w:t xml:space="preserve">Porsche and Piëch families held 31.5% of equity via common shares (50.7% of votes due to dual-class structure)</w:t>
      </w:r>
    </w:p>
    <w:p>
      <w:pPr>
        <w:pStyle w:val="Compact"/>
        <w:numPr>
          <w:ilvl w:val="0"/>
          <w:numId w:val="1055"/>
        </w:numPr>
      </w:pPr>
      <w:r>
        <w:t xml:space="preserve">Two-tiered board structure: supervisory board and management board</w:t>
      </w:r>
    </w:p>
    <w:p>
      <w:pPr>
        <w:pStyle w:val="Compact"/>
        <w:numPr>
          <w:ilvl w:val="0"/>
          <w:numId w:val="1055"/>
        </w:numPr>
      </w:pPr>
      <w:r>
        <w:t xml:space="preserve">Under German law (Law of Codetermination), any firm employing more than 2,000 workers had to have representatives of both employees and shareholders</w:t>
      </w:r>
    </w:p>
    <w:p>
      <w:pPr>
        <w:pStyle w:val="Compact"/>
        <w:numPr>
          <w:ilvl w:val="0"/>
          <w:numId w:val="105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56"/>
        </w:numPr>
      </w:pPr>
      <w:r>
        <w:t xml:space="preserve">Workers wanted higher wages and job security, not necessarily profitability</w:t>
      </w:r>
    </w:p>
    <w:p>
      <w:pPr>
        <w:pStyle w:val="Compact"/>
        <w:numPr>
          <w:ilvl w:val="0"/>
          <w:numId w:val="1056"/>
        </w:numPr>
      </w:pPr>
      <w:r>
        <w:t xml:space="preserve">Government interests were inherently political and often focused on employment</w:t>
      </w:r>
    </w:p>
    <w:p>
      <w:pPr>
        <w:pStyle w:val="Compact"/>
        <w:numPr>
          <w:ilvl w:val="0"/>
          <w:numId w:val="1056"/>
        </w:numPr>
      </w:pPr>
      <w:r>
        <w:t xml:space="preserve">Family ownership pursued market dominance over profitability</w:t>
      </w:r>
    </w:p>
    <w:bookmarkEnd w:id="76"/>
    <w:bookmarkStart w:id="77" w:name="good-governance-and-corporate-reputation"/>
    <w:p>
      <w:pPr>
        <w:pStyle w:val="Heading3"/>
      </w:pPr>
      <w:r>
        <w:t xml:space="preserve">4.3.7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End w:id="77"/>
    <w:bookmarkStart w:id="78" w:name="signaling-good-governance"/>
    <w:p>
      <w:pPr>
        <w:pStyle w:val="Heading3"/>
      </w:pPr>
      <w:r>
        <w:t xml:space="preserve">4.3.8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p>
      <w:pPr>
        <w:pStyle w:val="BodyText"/>
      </w:pPr>
      <w:r>
        <w:rPr>
          <w:b/>
          <w:bCs/>
        </w:rPr>
        <w:t xml:space="preserve">OECD Good Governance Principles</w:t>
      </w:r>
    </w:p>
    <w:p>
      <w:pPr>
        <w:pStyle w:val="BodyText"/>
      </w:pPr>
      <w:r>
        <w:t xml:space="preserve">A consensus on good governance practices has emerged, led by the OECD:</w:t>
      </w:r>
    </w:p>
    <w:p>
      <w:pPr>
        <w:numPr>
          <w:ilvl w:val="0"/>
          <w:numId w:val="105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5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5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5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5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78"/>
    <w:bookmarkStart w:id="79" w:name="the-value-of-good-governance"/>
    <w:p>
      <w:pPr>
        <w:pStyle w:val="Heading3"/>
      </w:pPr>
      <w:r>
        <w:t xml:space="preserve">4.3.9 The Value of Good Governance</w:t>
      </w:r>
    </w:p>
    <w:p>
      <w:pPr>
        <w:pStyle w:val="FirstParagraph"/>
      </w:pPr>
      <w:r>
        <w:t xml:space="preserve">In principle, the idea is that good governance (at both the country and corporate levels) is linked to:</w:t>
      </w:r>
    </w:p>
    <w:p>
      <w:pPr>
        <w:pStyle w:val="Compact"/>
        <w:numPr>
          <w:ilvl w:val="0"/>
          <w:numId w:val="1058"/>
        </w:numPr>
      </w:pPr>
      <w:r>
        <w:t xml:space="preserve">Cost of capital (lower)</w:t>
      </w:r>
    </w:p>
    <w:p>
      <w:pPr>
        <w:pStyle w:val="Compact"/>
        <w:numPr>
          <w:ilvl w:val="0"/>
          <w:numId w:val="1058"/>
        </w:numPr>
      </w:pPr>
      <w:r>
        <w:t xml:space="preserve">Return to shareholders (higher)</w:t>
      </w:r>
    </w:p>
    <w:p>
      <w:pPr>
        <w:pStyle w:val="Compact"/>
        <w:numPr>
          <w:ilvl w:val="0"/>
          <w:numId w:val="105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79"/>
    <w:bookmarkEnd w:id="80"/>
    <w:bookmarkStart w:id="95" w:name="the-market-for-corporate-control"/>
    <w:p>
      <w:pPr>
        <w:pStyle w:val="Heading2"/>
      </w:pPr>
      <w:r>
        <w:t xml:space="preserve">4.4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59"/>
        </w:numPr>
      </w:pPr>
      <w:r>
        <w:t xml:space="preserve">Cost synergies</w:t>
      </w:r>
    </w:p>
    <w:p>
      <w:pPr>
        <w:pStyle w:val="Compact"/>
        <w:numPr>
          <w:ilvl w:val="0"/>
          <w:numId w:val="1059"/>
        </w:numPr>
      </w:pPr>
      <w:r>
        <w:t xml:space="preserve">Revenue synergies</w:t>
      </w:r>
    </w:p>
    <w:p>
      <w:pPr>
        <w:pStyle w:val="Compact"/>
        <w:numPr>
          <w:ilvl w:val="0"/>
          <w:numId w:val="1059"/>
        </w:numPr>
      </w:pPr>
      <w:r>
        <w:t xml:space="preserve">Financial synergies</w:t>
      </w:r>
    </w:p>
    <w:p>
      <w:pPr>
        <w:pStyle w:val="Compact"/>
        <w:numPr>
          <w:ilvl w:val="0"/>
          <w:numId w:val="105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p>
      <w:pPr>
        <w:pStyle w:val="BodyText"/>
      </w:pPr>
      <w:r>
        <w:rPr>
          <w:b/>
          <w:bCs/>
        </w:rPr>
        <w:t xml:space="preserve">Friendly vs. Hostile Takeovers</w:t>
      </w:r>
    </w:p>
    <w:p>
      <w:pPr>
        <w:pStyle w:val="BodyText"/>
      </w:pPr>
      <w:r>
        <w:rPr>
          <w:b/>
          <w:bCs/>
        </w:rPr>
        <w:t xml:space="preserve">Friendly Takeover:</w:t>
      </w:r>
    </w:p>
    <w:p>
      <w:pPr>
        <w:pStyle w:val="Compact"/>
        <w:numPr>
          <w:ilvl w:val="0"/>
          <w:numId w:val="1060"/>
        </w:numPr>
      </w:pPr>
      <w:r>
        <w:t xml:space="preserve">A bidder works with the leadership of the target firm to arrive at a mutually agreed-upon price per share</w:t>
      </w:r>
    </w:p>
    <w:p>
      <w:pPr>
        <w:pStyle w:val="Compact"/>
        <w:numPr>
          <w:ilvl w:val="0"/>
          <w:numId w:val="1060"/>
        </w:numPr>
      </w:pPr>
      <w:r>
        <w:t xml:space="preserve">Both parties would benefit from cooperative negotiations in which detailed information regarding the target firm’s operations was shared</w:t>
      </w:r>
    </w:p>
    <w:p>
      <w:pPr>
        <w:pStyle w:val="Compact"/>
        <w:numPr>
          <w:ilvl w:val="0"/>
          <w:numId w:val="1060"/>
        </w:numPr>
      </w:pPr>
      <w:r>
        <w:t xml:space="preserve">This leads to a more accurate valuation of the target and potentially a higher bid price</w:t>
      </w:r>
    </w:p>
    <w:p>
      <w:pPr>
        <w:pStyle w:val="Compact"/>
        <w:numPr>
          <w:ilvl w:val="0"/>
          <w:numId w:val="106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61"/>
        </w:numPr>
      </w:pPr>
      <w:r>
        <w:t xml:space="preserve">If the target firm’s leadership is not interested in being acquired by the bidder, it might not cooperate in information-sharing</w:t>
      </w:r>
    </w:p>
    <w:p>
      <w:pPr>
        <w:pStyle w:val="Compact"/>
        <w:numPr>
          <w:ilvl w:val="0"/>
          <w:numId w:val="106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p>
      <w:pPr>
        <w:pStyle w:val="FirstParagraph"/>
      </w:pPr>
      <w:r>
        <w:rPr>
          <w:b/>
          <w:bCs/>
        </w:rPr>
        <w:t xml:space="preserve">Key Thresholds in Corporate Control</w:t>
      </w:r>
    </w:p>
    <w:p>
      <w:pPr>
        <w:pStyle w:val="BodyText"/>
      </w:pPr>
      <w:r>
        <w:t xml:space="preserve">Regardless of method, the objective is the same: to gain control of a sufficient number of votes to dictate corporate actions.</w:t>
      </w:r>
    </w:p>
    <w:bookmarkStart w:id="81" w:name="disclosure-threshold"/>
    <w:p>
      <w:pPr>
        <w:pStyle w:val="Heading4"/>
      </w:pPr>
      <w:r>
        <w:t xml:space="preserve">4.4.0.1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62"/>
        </w:numPr>
      </w:pPr>
      <w:r>
        <w:t xml:space="preserve">An acquiring firm crossing this threshold is required to publicly disclose that it has gained a specific level of voting rights in the target firm</w:t>
      </w:r>
    </w:p>
    <w:p>
      <w:pPr>
        <w:pStyle w:val="Compact"/>
        <w:numPr>
          <w:ilvl w:val="0"/>
          <w:numId w:val="1062"/>
        </w:numPr>
      </w:pPr>
      <w:r>
        <w:t xml:space="preserve">This public announcement often results in a rise in the target firm’s share price</w:t>
      </w:r>
    </w:p>
    <w:p>
      <w:pPr>
        <w:pStyle w:val="Compact"/>
        <w:numPr>
          <w:ilvl w:val="0"/>
          <w:numId w:val="1062"/>
        </w:numPr>
      </w:pPr>
      <w:r>
        <w:t xml:space="preserve">The most common threshold across countries is</w:t>
      </w:r>
      <w:r>
        <w:t xml:space="preserve"> </w:t>
      </w:r>
      <w:r>
        <w:rPr>
          <w:b/>
          <w:bCs/>
        </w:rPr>
        <w:t xml:space="preserve">5%</w:t>
      </w:r>
    </w:p>
    <w:p>
      <w:pPr>
        <w:pStyle w:val="Compact"/>
        <w:numPr>
          <w:ilvl w:val="0"/>
          <w:numId w:val="1062"/>
        </w:numPr>
      </w:pPr>
      <w:r>
        <w:t xml:space="preserve">Exceptions: Canada (10%), UK (3%)</w:t>
      </w:r>
    </w:p>
    <w:p>
      <w:pPr>
        <w:pStyle w:val="Compact"/>
        <w:numPr>
          <w:ilvl w:val="0"/>
          <w:numId w:val="106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81"/>
    <w:bookmarkStart w:id="82" w:name="mandatory-bid-rule"/>
    <w:p>
      <w:pPr>
        <w:pStyle w:val="Heading4"/>
      </w:pPr>
      <w:r>
        <w:t xml:space="preserve">4.4.0.2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63"/>
        </w:numPr>
      </w:pPr>
      <w:r>
        <w:t xml:space="preserve">In many countries, an acquirer is required to stop accumulating target firm shares at 30% or 33%</w:t>
      </w:r>
    </w:p>
    <w:p>
      <w:pPr>
        <w:pStyle w:val="Compact"/>
        <w:numPr>
          <w:ilvl w:val="0"/>
          <w:numId w:val="106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63"/>
        </w:numPr>
      </w:pPr>
      <w:r>
        <w:t xml:space="preserve">The tender must also be open to shareholders for a specific period of time</w:t>
      </w:r>
    </w:p>
    <w:p>
      <w:pPr>
        <w:pStyle w:val="FirstParagraph"/>
      </w:pPr>
      <w:r>
        <w:rPr>
          <w:b/>
          <w:bCs/>
        </w:rPr>
        <w:t xml:space="preserve">Purpose:</w:t>
      </w:r>
    </w:p>
    <w:p>
      <w:pPr>
        <w:pStyle w:val="Compact"/>
        <w:numPr>
          <w:ilvl w:val="0"/>
          <w:numId w:val="1064"/>
        </w:numPr>
      </w:pPr>
      <w:r>
        <w:t xml:space="preserve">Serves as a major barrier to corporate takeovers</w:t>
      </w:r>
    </w:p>
    <w:p>
      <w:pPr>
        <w:pStyle w:val="Compact"/>
        <w:numPr>
          <w:ilvl w:val="0"/>
          <w:numId w:val="1064"/>
        </w:numPr>
      </w:pPr>
      <w:r>
        <w:t xml:space="preserve">Protects holders of control, including management, as well as minority shareholders</w:t>
      </w:r>
    </w:p>
    <w:p>
      <w:pPr>
        <w:pStyle w:val="Compact"/>
        <w:numPr>
          <w:ilvl w:val="0"/>
          <w:numId w:val="106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82"/>
    <w:bookmarkStart w:id="83" w:name="squeeze-outsell-out-rights"/>
    <w:p>
      <w:pPr>
        <w:pStyle w:val="Heading4"/>
      </w:pPr>
      <w:r>
        <w:t xml:space="preserve">4.4.0.3 Squeeze-Out/Sell-Out Rights</w:t>
      </w:r>
    </w:p>
    <w:p>
      <w:pPr>
        <w:pStyle w:val="FirstParagraph"/>
      </w:pPr>
      <w:r>
        <w:rPr>
          <w:b/>
          <w:bCs/>
        </w:rPr>
        <w:t xml:space="preserve">Squeeze-Out Right:</w:t>
      </w:r>
    </w:p>
    <w:p>
      <w:pPr>
        <w:pStyle w:val="Compact"/>
        <w:numPr>
          <w:ilvl w:val="0"/>
          <w:numId w:val="106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6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66"/>
        </w:numPr>
      </w:pPr>
      <w:r>
        <w:t xml:space="preserve">The dual consideration to squeeze-out rights</w:t>
      </w:r>
    </w:p>
    <w:p>
      <w:pPr>
        <w:pStyle w:val="Compact"/>
        <w:numPr>
          <w:ilvl w:val="0"/>
          <w:numId w:val="1066"/>
        </w:numPr>
      </w:pPr>
      <w:r>
        <w:t xml:space="preserve">Ensures that residual minority shareholders are offered a fair price once control has changed</w:t>
      </w:r>
    </w:p>
    <w:bookmarkEnd w:id="83"/>
    <w:bookmarkStart w:id="84" w:name="cross-border-takeovers-and-defenses"/>
    <w:p>
      <w:pPr>
        <w:pStyle w:val="Heading3"/>
      </w:pPr>
      <w:r>
        <w:t xml:space="preserve">4.4.1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End w:id="84"/>
    <w:bookmarkStart w:id="91" w:name="common-objective-of-legal-structures"/>
    <w:p>
      <w:pPr>
        <w:pStyle w:val="Heading3"/>
      </w:pPr>
      <w:r>
        <w:t xml:space="preserve">4.4.2 Common Objective of Legal Structures</w:t>
      </w:r>
    </w:p>
    <w:p>
      <w:pPr>
        <w:pStyle w:val="FirstParagraph"/>
      </w:pPr>
      <w:r>
        <w:t xml:space="preserve">These legal structures all possessed a common objective: to strike a balance between:</w:t>
      </w:r>
    </w:p>
    <w:p>
      <w:pPr>
        <w:pStyle w:val="Compact"/>
        <w:numPr>
          <w:ilvl w:val="0"/>
          <w:numId w:val="1067"/>
        </w:numPr>
      </w:pPr>
      <w:r>
        <w:t xml:space="preserve">Creating an open and efficient marketplace for corporate control</w:t>
      </w:r>
    </w:p>
    <w:p>
      <w:pPr>
        <w:pStyle w:val="Compact"/>
        <w:numPr>
          <w:ilvl w:val="0"/>
          <w:numId w:val="1067"/>
        </w:numPr>
      </w:pPr>
      <w:r>
        <w:t xml:space="preserve">The efficient deployment of capital</w:t>
      </w:r>
    </w:p>
    <w:p>
      <w:pPr>
        <w:pStyle w:val="Compact"/>
        <w:numPr>
          <w:ilvl w:val="0"/>
          <w:numId w:val="1067"/>
        </w:numPr>
      </w:pPr>
      <w:r>
        <w:t xml:space="preserve">Ensuring the fair treatment of all shareholders, including minority shareholders</w:t>
      </w:r>
    </w:p>
    <w:p>
      <w:pPr>
        <w:pStyle w:val="FirstParagraph"/>
      </w:pPr>
      <w:r>
        <w:rPr>
          <w:b/>
          <w:bCs/>
        </w:rPr>
        <w:t xml:space="preserve">Anti-Takeover Provisions (ATPs)</w:t>
      </w:r>
    </w:p>
    <w:p>
      <w:pPr>
        <w:pStyle w:val="BodyText"/>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p>
      <w:pPr>
        <w:pStyle w:val="BodyText"/>
      </w:pPr>
      <w:r>
        <w:rPr>
          <w:b/>
          <w:bCs/>
        </w:rPr>
        <w:t xml:space="preserve">Specific Defense Mechanisms</w:t>
      </w:r>
    </w:p>
    <w:bookmarkStart w:id="85" w:name="dual-class-stock"/>
    <w:p>
      <w:pPr>
        <w:pStyle w:val="Heading4"/>
      </w:pPr>
      <w:r>
        <w:t xml:space="preserve">4.4.2.1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68"/>
        </w:numPr>
      </w:pPr>
      <w:r>
        <w:t xml:space="preserve">One class may be entitled to different dividends than the other</w:t>
      </w:r>
    </w:p>
    <w:p>
      <w:pPr>
        <w:pStyle w:val="Compact"/>
        <w:numPr>
          <w:ilvl w:val="0"/>
          <w:numId w:val="1068"/>
        </w:numPr>
      </w:pPr>
      <w:r>
        <w:t xml:space="preserve">Different numbers of voting rights than the other</w:t>
      </w:r>
    </w:p>
    <w:p>
      <w:pPr>
        <w:pStyle w:val="Compact"/>
        <w:numPr>
          <w:ilvl w:val="0"/>
          <w:numId w:val="106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bookmarkEnd w:id="85"/>
    <w:bookmarkStart w:id="86" w:name="poison-pills"/>
    <w:p>
      <w:pPr>
        <w:pStyle w:val="Heading4"/>
      </w:pPr>
      <w:r>
        <w:t xml:space="preserve">4.4.2.2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69"/>
        </w:numPr>
      </w:pPr>
      <w:r>
        <w:t xml:space="preserve">The target firm’s bylaws allow the issuance of additional shares to existing shareholders</w:t>
      </w:r>
    </w:p>
    <w:p>
      <w:pPr>
        <w:pStyle w:val="Compact"/>
        <w:numPr>
          <w:ilvl w:val="0"/>
          <w:numId w:val="1069"/>
        </w:numPr>
      </w:pPr>
      <w:r>
        <w:t xml:space="preserve">This dilutes the voting shares of the acquirer</w:t>
      </w:r>
    </w:p>
    <w:p>
      <w:pPr>
        <w:pStyle w:val="FirstParagraph"/>
      </w:pPr>
      <w:r>
        <w:rPr>
          <w:b/>
          <w:bCs/>
        </w:rPr>
        <w:t xml:space="preserve">Types of Poison Pills:</w:t>
      </w:r>
    </w:p>
    <w:p>
      <w:pPr>
        <w:pStyle w:val="Compact"/>
        <w:numPr>
          <w:ilvl w:val="0"/>
          <w:numId w:val="107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7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86"/>
    <w:bookmarkStart w:id="87" w:name="staggered-boards"/>
    <w:p>
      <w:pPr>
        <w:pStyle w:val="Heading4"/>
      </w:pPr>
      <w:r>
        <w:t xml:space="preserve">4.4.2.3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71"/>
        </w:numPr>
      </w:pPr>
      <w:r>
        <w:t xml:space="preserve">To prevent an acquirer from gaining new influence via newly elected board members (typically via a proxy fight)</w:t>
      </w:r>
    </w:p>
    <w:p>
      <w:pPr>
        <w:pStyle w:val="Compact"/>
        <w:numPr>
          <w:ilvl w:val="0"/>
          <w:numId w:val="1071"/>
        </w:numPr>
      </w:pPr>
      <w:r>
        <w:t xml:space="preserve">A company can ensure that its board member terms are staggered</w:t>
      </w:r>
    </w:p>
    <w:p>
      <w:pPr>
        <w:pStyle w:val="Compact"/>
        <w:numPr>
          <w:ilvl w:val="0"/>
          <w:numId w:val="1071"/>
        </w:numPr>
      </w:pPr>
      <w:r>
        <w:t xml:space="preserve">This means that no newly elected controlling board composition is attainable at any one time</w:t>
      </w:r>
    </w:p>
    <w:bookmarkEnd w:id="87"/>
    <w:bookmarkStart w:id="88" w:name="white-knights"/>
    <w:p>
      <w:pPr>
        <w:pStyle w:val="Heading4"/>
      </w:pPr>
      <w:r>
        <w:t xml:space="preserve">4.4.2.4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72"/>
        </w:numPr>
      </w:pPr>
      <w:r>
        <w:t xml:space="preserve">The white knight will still need to out-bid the hostile acquirer</w:t>
      </w:r>
    </w:p>
    <w:p>
      <w:pPr>
        <w:pStyle w:val="Compact"/>
        <w:numPr>
          <w:ilvl w:val="0"/>
          <w:numId w:val="1072"/>
        </w:numPr>
      </w:pPr>
      <w:r>
        <w:t xml:space="preserve">The target helps to support that higher bid price by working cooperatively with the white knight, particularly in information sharing</w:t>
      </w:r>
    </w:p>
    <w:p>
      <w:pPr>
        <w:pStyle w:val="Compact"/>
        <w:numPr>
          <w:ilvl w:val="0"/>
          <w:numId w:val="1072"/>
        </w:numPr>
      </w:pPr>
      <w:r>
        <w:t xml:space="preserve">In some cases, the cooperation is in return for business and employment assurances post-acquisition</w:t>
      </w:r>
    </w:p>
    <w:bookmarkEnd w:id="88"/>
    <w:bookmarkStart w:id="89" w:name="pac-man-defense"/>
    <w:p>
      <w:pPr>
        <w:pStyle w:val="Heading4"/>
      </w:pPr>
      <w:r>
        <w:t xml:space="preserve">4.4.2.5 Pac-Man Defense</w:t>
      </w:r>
    </w:p>
    <w:p>
      <w:pPr>
        <w:pStyle w:val="FirstParagraph"/>
      </w:pPr>
      <w:r>
        <w:t xml:space="preserve">Named after the game, the target firm may itself become the acquirer and the acquirer the target.</w:t>
      </w:r>
    </w:p>
    <w:p>
      <w:pPr>
        <w:pStyle w:val="Compact"/>
        <w:numPr>
          <w:ilvl w:val="0"/>
          <w:numId w:val="1073"/>
        </w:numPr>
      </w:pPr>
      <w:r>
        <w:t xml:space="preserve">In the earliest stages of a potential hostile takeover, the target firm may start buying shares in the bidder company</w:t>
      </w:r>
    </w:p>
    <w:p>
      <w:pPr>
        <w:pStyle w:val="Compact"/>
        <w:numPr>
          <w:ilvl w:val="0"/>
          <w:numId w:val="1073"/>
        </w:numPr>
      </w:pPr>
      <w:r>
        <w:t xml:space="preserve">Often in the process of funding these growing share accumulations, the target firm’s debt levels begin to rise, making it less desirable as well</w:t>
      </w:r>
    </w:p>
    <w:bookmarkEnd w:id="89"/>
    <w:bookmarkStart w:id="90" w:name="asset-divestment-and-debt"/>
    <w:p>
      <w:pPr>
        <w:pStyle w:val="Heading4"/>
      </w:pPr>
      <w:r>
        <w:t xml:space="preserve">4.4.2.6 Asset Divestment and Debt</w:t>
      </w:r>
    </w:p>
    <w:p>
      <w:pPr>
        <w:pStyle w:val="FirstParagraph"/>
      </w:pPr>
      <w:r>
        <w:t xml:space="preserve">Other defense mechanisms focus on making the target firm less desirable:</w:t>
      </w:r>
    </w:p>
    <w:p>
      <w:pPr>
        <w:pStyle w:val="Compact"/>
        <w:numPr>
          <w:ilvl w:val="0"/>
          <w:numId w:val="107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74"/>
        </w:numPr>
      </w:pPr>
      <w:r>
        <w:rPr>
          <w:b/>
          <w:bCs/>
        </w:rPr>
        <w:t xml:space="preserve">Taking on large additional debt obligations</w:t>
      </w:r>
      <w:r>
        <w:t xml:space="preserve"> </w:t>
      </w:r>
      <w:r>
        <w:t xml:space="preserve">to make acquisition more costly and more of a financial burden to the hostile acquirer</w:t>
      </w:r>
    </w:p>
    <w:bookmarkEnd w:id="90"/>
    <w:bookmarkEnd w:id="91"/>
    <w:bookmarkStart w:id="92" w:name="Xa41bf0798ed8ddcd67c99f4b0e15e40f751d108"/>
    <w:p>
      <w:pPr>
        <w:pStyle w:val="Heading3"/>
      </w:pPr>
      <w:r>
        <w:t xml:space="preserve">4.4.3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End w:id="92"/>
    <w:bookmarkStart w:id="93" w:name="Xf91196a3edf8da13d23d77e11f0ce793b8df42f"/>
    <w:p>
      <w:pPr>
        <w:pStyle w:val="Heading3"/>
      </w:pPr>
      <w:r>
        <w:t xml:space="preserve">4.4.4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p>
      <w:pPr>
        <w:pStyle w:val="BodyText"/>
      </w:pPr>
      <w:r>
        <w:rPr>
          <w:b/>
          <w:bCs/>
        </w:rPr>
        <w:t xml:space="preserve">The Triple Bottom Line</w:t>
      </w:r>
    </w:p>
    <w:p>
      <w:pPr>
        <w:pStyle w:val="BodyText"/>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75"/>
        </w:numPr>
      </w:pPr>
      <w:r>
        <w:rPr>
          <w:b/>
          <w:bCs/>
        </w:rPr>
        <w:t xml:space="preserve">Profitability</w:t>
      </w:r>
    </w:p>
    <w:p>
      <w:pPr>
        <w:pStyle w:val="Compact"/>
        <w:numPr>
          <w:ilvl w:val="0"/>
          <w:numId w:val="1075"/>
        </w:numPr>
      </w:pPr>
      <w:r>
        <w:rPr>
          <w:b/>
          <w:bCs/>
        </w:rPr>
        <w:t xml:space="preserve">Social responsibility</w:t>
      </w:r>
    </w:p>
    <w:p>
      <w:pPr>
        <w:pStyle w:val="Compact"/>
        <w:numPr>
          <w:ilvl w:val="0"/>
          <w:numId w:val="107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93"/>
    <w:bookmarkStart w:id="94" w:name="X4b79cfa230179972d61005174b805988aa55a4c"/>
    <w:p>
      <w:pPr>
        <w:pStyle w:val="Heading3"/>
      </w:pPr>
      <w:r>
        <w:t xml:space="preserve">4.4.5 Two Arguments for Corporate Responsibility</w:t>
      </w:r>
    </w:p>
    <w:p>
      <w:pPr>
        <w:pStyle w:val="FirstParagraph"/>
      </w:pPr>
      <w:r>
        <w:rPr>
          <w:b/>
          <w:bCs/>
        </w:rPr>
        <w:t xml:space="preserve">The Economic Channel:</w:t>
      </w:r>
    </w:p>
    <w:p>
      <w:pPr>
        <w:pStyle w:val="Compact"/>
        <w:numPr>
          <w:ilvl w:val="0"/>
          <w:numId w:val="107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7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7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94"/>
    <w:bookmarkEnd w:id="95"/>
    <w:bookmarkStart w:id="97" w:name="conclusion"/>
    <w:p>
      <w:pPr>
        <w:pStyle w:val="Heading2"/>
      </w:pPr>
      <w:r>
        <w:t xml:space="preserve">4.5 Conclusion</w:t>
      </w:r>
    </w:p>
    <w:bookmarkStart w:id="96" w:name="key-takeaways"/>
    <w:p>
      <w:pPr>
        <w:pStyle w:val="Heading3"/>
      </w:pPr>
      <w:r>
        <w:t xml:space="preserve">4.5.1 Key Takeaways</w:t>
      </w:r>
    </w:p>
    <w:p>
      <w:pPr>
        <w:numPr>
          <w:ilvl w:val="0"/>
          <w:numId w:val="107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7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78"/>
        </w:numPr>
      </w:pPr>
      <w:r>
        <w:rPr>
          <w:b/>
          <w:bCs/>
        </w:rPr>
        <w:t xml:space="preserve">Two competing models of capitalism:</w:t>
      </w:r>
    </w:p>
    <w:p>
      <w:pPr>
        <w:pStyle w:val="Compact"/>
        <w:numPr>
          <w:ilvl w:val="1"/>
          <w:numId w:val="1079"/>
        </w:numPr>
      </w:pPr>
      <w:r>
        <w:t xml:space="preserve">Shareholder capitalism focuses on maximizing returns to shareholders</w:t>
      </w:r>
    </w:p>
    <w:p>
      <w:pPr>
        <w:pStyle w:val="Compact"/>
        <w:numPr>
          <w:ilvl w:val="1"/>
          <w:numId w:val="1079"/>
        </w:numPr>
      </w:pPr>
      <w:r>
        <w:t xml:space="preserve">Stakeholder capitalism considers the interests of all stakeholders including employees, community, and environment</w:t>
      </w:r>
    </w:p>
    <w:p>
      <w:pPr>
        <w:numPr>
          <w:ilvl w:val="0"/>
          <w:numId w:val="107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7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78"/>
        </w:numPr>
      </w:pPr>
      <w:r>
        <w:rPr>
          <w:b/>
          <w:bCs/>
        </w:rPr>
        <w:t xml:space="preserve">Sustainability is increasingly important:</w:t>
      </w:r>
      <w:r>
        <w:t xml:space="preserve"> </w:t>
      </w:r>
      <w:r>
        <w:t xml:space="preserve">ESG concerns are becoming central to corporate strategy and investor decision-making.</w:t>
      </w:r>
    </w:p>
    <w:p>
      <w:pPr>
        <w:pStyle w:val="FirstParagraph"/>
      </w:pPr>
      <w:r>
        <w:rPr>
          <w:b/>
          <w:bCs/>
        </w:rPr>
        <w:t xml:space="preserve">Final Note:</w:t>
      </w:r>
      <w:r>
        <w:t xml:space="preserve"> </w:t>
      </w:r>
      <w:r>
        <w:t xml:space="preserve">There is a lot of good that can be talked about ESG and Stakeholder capitalism. However, Scripture says that we cannot serve two masters. So serve the one who has hired you to do the job: the shareholder.</w:t>
      </w:r>
    </w:p>
    <w:p>
      <w:r>
        <w:pict>
          <v:rect style="width:0;height:1.5pt" o:hralign="center" o:hrstd="t" o:hr="t"/>
        </w:pict>
      </w:r>
    </w:p>
    <w:p>
      <w:pPr>
        <w:pStyle w:val="FirstParagraph"/>
      </w:pPr>
      <w:r>
        <w:rPr>
          <w:b/>
          <w:bCs/>
        </w:rPr>
        <w:t xml:space="preserve">Next:</w:t>
      </w:r>
      <w:r>
        <w:t xml:space="preserve"> </w:t>
      </w:r>
      <w:r>
        <w:t xml:space="preserve">Exam 1, then moving into Section 2.</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2026-02-08T22:07:22Z</dcterms:created>
  <dcterms:modified xsi:type="dcterms:W3CDTF">2026-02-08T22:07:22Z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2026-02-08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