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88.jpg" ContentType="image/jpe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Ch01/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Ch01/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Ch01/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 currency of another country if it is held in an foreign bank, unless the foreign entity agrees to freeze those assets as well. For example, the U.S. cannot freeze the assets of Russia if the funds are held in a Belarus bank, unless Belarus agrees to freeze the funds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Ch01/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3200400" cy="2407138"/>
            <wp:effectExtent b="0" l="0" r="0" t="0"/>
            <wp:docPr descr="Initiation of the Globalization Process" title="" id="74" name="Picture"/>
            <a:graphic>
              <a:graphicData uri="http://schemas.openxmlformats.org/drawingml/2006/picture">
                <pic:pic>
                  <pic:nvPicPr>
                    <pic:cNvPr descr="../assets/images/Ch01/Exhibit_1.4.png" id="75" name="Picture"/>
                    <pic:cNvPicPr>
                      <a:picLocks noChangeArrowheads="1" noChangeAspect="1"/>
                    </pic:cNvPicPr>
                  </pic:nvPicPr>
                  <pic:blipFill>
                    <a:blip r:embed="rId73"/>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3200400" cy="2407138"/>
            <wp:effectExtent b="0" l="0" r="0" t="0"/>
            <wp:docPr descr="Foreign Direct Investment Sequence" title="" id="78" name="Picture"/>
            <a:graphic>
              <a:graphicData uri="http://schemas.openxmlformats.org/drawingml/2006/picture">
                <pic:pic>
                  <pic:nvPicPr>
                    <pic:cNvPr descr="../assets/images/Ch01/Exhibit_1.5.png" id="79" name="Picture"/>
                    <pic:cNvPicPr>
                      <a:picLocks noChangeArrowheads="1" noChangeAspect="1"/>
                    </pic:cNvPicPr>
                  </pic:nvPicPr>
                  <pic:blipFill>
                    <a:blip r:embed="rId77"/>
                    <a:stretch>
                      <a:fillRect/>
                    </a:stretch>
                  </pic:blipFill>
                  <pic:spPr bwMode="auto">
                    <a:xfrm>
                      <a:off x="0" y="0"/>
                      <a:ext cx="3200400" cy="2407138"/>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9"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3"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p>
      <w:pPr>
        <w:pStyle w:val="BodyText"/>
      </w:pPr>
      <w:r>
        <w:t xml:space="preserve">There is a growing debate over whether many of the insiders and rulers of organizations with enterprises globally are taking actions consistent with creating firm value or consistent with increasing their own personal stakes and power.</w:t>
      </w:r>
    </w:p>
    <w:p>
      <w:pPr>
        <w:pStyle w:val="CaptionedFigure"/>
      </w:pPr>
      <w:r>
        <w:drawing>
          <wp:inline>
            <wp:extent cx="3200400" cy="1219325"/>
            <wp:effectExtent b="0" l="0" r="0" t="0"/>
            <wp:docPr descr="Limits of Financial Globalization" title="" id="89" name="Picture"/>
            <a:graphic>
              <a:graphicData uri="http://schemas.openxmlformats.org/drawingml/2006/picture">
                <pic:pic>
                  <pic:nvPicPr>
                    <pic:cNvPr descr="../assets/images/Ch01/Exhibit_1.7.jpg" id="90" name="Picture"/>
                    <pic:cNvPicPr>
                      <a:picLocks noChangeArrowheads="1" noChangeAspect="1"/>
                    </pic:cNvPicPr>
                  </pic:nvPicPr>
                  <pic:blipFill>
                    <a:blip r:embed="rId88"/>
                    <a:stretch>
                      <a:fillRect/>
                    </a:stretch>
                  </pic:blipFill>
                  <pic:spPr bwMode="auto">
                    <a:xfrm>
                      <a:off x="0" y="0"/>
                      <a:ext cx="3200400" cy="1219325"/>
                    </a:xfrm>
                    <a:prstGeom prst="rect">
                      <a:avLst/>
                    </a:prstGeom>
                    <a:noFill/>
                    <a:ln w="9525">
                      <a:noFill/>
                      <a:headEnd/>
                      <a:tailEnd/>
                    </a:ln>
                  </pic:spPr>
                </pic:pic>
              </a:graphicData>
            </a:graphic>
          </wp:inline>
        </w:drawing>
      </w:r>
    </w:p>
    <w:p>
      <w:pPr>
        <w:pStyle w:val="ImageCaption"/>
      </w:pPr>
      <w:r>
        <w:t xml:space="preserve">Limits of Financial Globalization</w:t>
      </w:r>
    </w:p>
    <w:p>
      <w:pPr>
        <w:pStyle w:val="BodyText"/>
      </w:pPr>
      <w:r>
        <w:t xml:space="preserve">If these influential insiders are building wealth over that of the firm, it will result in preventing the flow of capital across borders, currencies, and institutions to create a more open and integrated global financial community.</w:t>
      </w:r>
    </w:p>
    <w:bookmarkStart w:id="91"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91"/>
    <w:bookmarkStart w:id="92"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92"/>
    <w:bookmarkEnd w:id="93"/>
    <w:bookmarkStart w:id="95"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4"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4"/>
    <w:bookmarkEnd w:id="95"/>
    <w:bookmarkStart w:id="97" w:name="contemporary-challenges"/>
    <w:p>
      <w:pPr>
        <w:pStyle w:val="Heading3"/>
      </w:pPr>
      <w:r>
        <w:t xml:space="preserve">1.5.4 Contemporary Challenges</w:t>
      </w:r>
    </w:p>
    <w:bookmarkStart w:id="96"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6"/>
    <w:bookmarkEnd w:id="97"/>
    <w:bookmarkStart w:id="98"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8"/>
    <w:bookmarkEnd w:id="99"/>
    <w:bookmarkStart w:id="116" w:name="conclusion-and-synthesis"/>
    <w:p>
      <w:pPr>
        <w:pStyle w:val="Heading2"/>
      </w:pPr>
      <w:r>
        <w:t xml:space="preserve">1.6 Conclusion and Synthesis</w:t>
      </w:r>
    </w:p>
    <w:bookmarkStart w:id="105" w:name="connecting-the-dots"/>
    <w:p>
      <w:pPr>
        <w:pStyle w:val="Heading3"/>
      </w:pPr>
      <w:r>
        <w:t xml:space="preserve">1.6.1 Connecting the Dots</w:t>
      </w:r>
    </w:p>
    <w:p>
      <w:pPr>
        <w:pStyle w:val="FirstParagraph"/>
      </w:pPr>
      <w:r>
        <w:t xml:space="preserve">Let’s bring together these major themes:</w:t>
      </w:r>
    </w:p>
    <w:bookmarkStart w:id="100"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100"/>
    <w:bookmarkStart w:id="101"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101"/>
    <w:bookmarkStart w:id="102"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102"/>
    <w:bookmarkStart w:id="103"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3"/>
    <w:bookmarkStart w:id="104"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4"/>
    <w:bookmarkEnd w:id="105"/>
    <w:bookmarkStart w:id="106"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6"/>
    <w:bookmarkStart w:id="110" w:name="why-this-matters-to-you"/>
    <w:p>
      <w:pPr>
        <w:pStyle w:val="Heading3"/>
      </w:pPr>
      <w:r>
        <w:t xml:space="preserve">1.6.3 Why This Matters to You</w:t>
      </w:r>
    </w:p>
    <w:bookmarkStart w:id="107"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7"/>
    <w:bookmarkStart w:id="108"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8"/>
    <w:bookmarkStart w:id="109"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9"/>
    <w:bookmarkEnd w:id="110"/>
    <w:bookmarkStart w:id="115" w:name="X98dbbc596aa60b58680c73a1dfe3c4af206bb98"/>
    <w:p>
      <w:pPr>
        <w:pStyle w:val="Heading3"/>
      </w:pPr>
      <w:r>
        <w:t xml:space="preserve">1.6.4 Practical Advice for Success in This Course</w:t>
      </w:r>
    </w:p>
    <w:bookmarkStart w:id="111"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11"/>
    <w:bookmarkStart w:id="112"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12"/>
    <w:bookmarkStart w:id="113"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3"/>
    <w:bookmarkStart w:id="114"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4"/>
    <w:bookmarkEnd w:id="115"/>
    <w:bookmarkEnd w:id="116"/>
    <w:bookmarkStart w:id="117"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7"/>
    <w:bookmarkStart w:id="118"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8" Target="media/rId88.jp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2026-04-06T03:57:12Z</dcterms:created>
  <dcterms:modified xsi:type="dcterms:W3CDTF">2026-04-06T03:57:12Z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