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2"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1"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bookmarkEnd w:id="59"/>
    <w:bookmarkStart w:id="60" w:name="classroom-takeaway"/>
    <w:p>
      <w:pPr>
        <w:pStyle w:val="Heading4"/>
      </w:pPr>
      <w:r>
        <w:t xml:space="preserve">12.3.3.3 Classroom takeaway</w:t>
      </w:r>
    </w:p>
    <w:p>
      <w:pPr>
        <w:pStyle w:val="FirstParagraph"/>
      </w:pPr>
      <w:r>
        <w:t xml:space="preserve">A strong answer to the test-bank question on strategic response would note:</w:t>
      </w:r>
    </w:p>
    <w:p>
      <w:pPr>
        <w:pStyle w:val="Compact"/>
        <w:numPr>
          <w:ilvl w:val="0"/>
          <w:numId w:val="1028"/>
        </w:numPr>
      </w:pPr>
      <w:r>
        <w:t xml:space="preserve">diversify operations;</w:t>
      </w:r>
    </w:p>
    <w:p>
      <w:pPr>
        <w:pStyle w:val="Compact"/>
        <w:numPr>
          <w:ilvl w:val="0"/>
          <w:numId w:val="1028"/>
        </w:numPr>
      </w:pPr>
      <w:r>
        <w:t xml:space="preserve">diversify financing;</w:t>
      </w:r>
    </w:p>
    <w:p>
      <w:pPr>
        <w:pStyle w:val="Compact"/>
        <w:numPr>
          <w:ilvl w:val="0"/>
          <w:numId w:val="1028"/>
        </w:numPr>
      </w:pPr>
      <w:r>
        <w:t xml:space="preserve">recognize disequilibrium quickly;</w:t>
      </w:r>
    </w:p>
    <w:p>
      <w:pPr>
        <w:pStyle w:val="Compact"/>
        <w:numPr>
          <w:ilvl w:val="0"/>
          <w:numId w:val="1028"/>
        </w:numPr>
      </w:pPr>
      <w:r>
        <w:t xml:space="preserve">use structural flexibility rather than trying to forecast every shock precisely.</w:t>
      </w:r>
    </w:p>
    <w:p>
      <w:r>
        <w:pict>
          <v:rect style="width:0;height:1.5pt" o:hralign="center" o:hrstd="t" o:hr="t"/>
        </w:pict>
      </w:r>
    </w:p>
    <w:bookmarkEnd w:id="60"/>
    <w:bookmarkEnd w:id="61"/>
    <w:bookmarkEnd w:id="62"/>
    <w:bookmarkStart w:id="89"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9"/>
        </w:numPr>
      </w:pPr>
      <w:r>
        <w:t xml:space="preserve">matching currency cash flows;</w:t>
      </w:r>
    </w:p>
    <w:p>
      <w:pPr>
        <w:pStyle w:val="Compact"/>
        <w:numPr>
          <w:ilvl w:val="0"/>
          <w:numId w:val="1029"/>
        </w:numPr>
      </w:pPr>
      <w:r>
        <w:t xml:space="preserve">risk-sharing agreements;</w:t>
      </w:r>
    </w:p>
    <w:p>
      <w:pPr>
        <w:pStyle w:val="Compact"/>
        <w:numPr>
          <w:ilvl w:val="0"/>
          <w:numId w:val="1029"/>
        </w:numPr>
      </w:pPr>
      <w:r>
        <w:t xml:space="preserve">back-to-back or parallel loans;</w:t>
      </w:r>
    </w:p>
    <w:p>
      <w:pPr>
        <w:pStyle w:val="Compact"/>
        <w:numPr>
          <w:ilvl w:val="0"/>
          <w:numId w:val="1029"/>
        </w:numPr>
      </w:pPr>
      <w:r>
        <w:t xml:space="preserve">cross-currency swaps;</w:t>
      </w:r>
    </w:p>
    <w:p>
      <w:pPr>
        <w:pStyle w:val="Compact"/>
        <w:numPr>
          <w:ilvl w:val="0"/>
          <w:numId w:val="1029"/>
        </w:numPr>
      </w:pPr>
      <w:r>
        <w:t xml:space="preserve">contractual approaches such as options or forwards.</w:t>
      </w:r>
    </w:p>
    <w:p>
      <w:pPr>
        <w:pStyle w:val="FirstParagraph"/>
      </w:pPr>
      <w:r>
        <w:t xml:space="preserve">These are not perfect substitutes. Each works best under certain conditions.</w:t>
      </w:r>
    </w:p>
    <w:bookmarkStart w:id="68"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3"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30"/>
        </w:numPr>
      </w:pPr>
      <w:r>
        <w:t xml:space="preserve">an operating inflow in CAD,</w:t>
      </w:r>
    </w:p>
    <w:p>
      <w:pPr>
        <w:pStyle w:val="Compact"/>
        <w:numPr>
          <w:ilvl w:val="0"/>
          <w:numId w:val="1030"/>
        </w:numPr>
      </w:pPr>
      <w:r>
        <w:t xml:space="preserve">a financing outflow in CAD.</w:t>
      </w:r>
    </w:p>
    <w:p>
      <w:pPr>
        <w:pStyle w:val="FirstParagraph"/>
      </w:pPr>
      <w:r>
        <w:t xml:space="preserve">The two offset one another.</w:t>
      </w:r>
    </w:p>
    <w:bookmarkEnd w:id="63"/>
    <w:bookmarkStart w:id="64"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4"/>
    <w:bookmarkStart w:id="65"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1"/>
        </w:numPr>
      </w:pPr>
      <w:r>
        <w:t xml:space="preserve">CAD receivables,</w:t>
      </w:r>
    </w:p>
    <w:p>
      <w:pPr>
        <w:pStyle w:val="Compact"/>
        <w:numPr>
          <w:ilvl w:val="0"/>
          <w:numId w:val="1031"/>
        </w:numPr>
      </w:pPr>
      <w:r>
        <w:t xml:space="preserve">CAD payables.</w:t>
      </w:r>
    </w:p>
    <w:p>
      <w:pPr>
        <w:pStyle w:val="FirstParagraph"/>
      </w:pPr>
      <w:r>
        <w:t xml:space="preserve">If the timing and magnitude are similar, operating exposure is reduced naturally through the business structure.</w:t>
      </w:r>
    </w:p>
    <w:bookmarkEnd w:id="65"/>
    <w:bookmarkStart w:id="66"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6"/>
    <w:bookmarkStart w:id="67" w:name="simple-classroom-interpretation"/>
    <w:p>
      <w:pPr>
        <w:pStyle w:val="Heading4"/>
      </w:pPr>
      <w:r>
        <w:t xml:space="preserve">12.4.1.5 Simple classroom interpretation</w:t>
      </w:r>
    </w:p>
    <w:p>
      <w:pPr>
        <w:pStyle w:val="FirstParagraph"/>
      </w:pPr>
      <w:r>
        <w:t xml:space="preserve">A predictable long-run inflow in a foreign currency is best offset by creating a predictable outflow in that same currency.</w:t>
      </w:r>
    </w:p>
    <w:bookmarkEnd w:id="67"/>
    <w:bookmarkEnd w:id="68"/>
    <w:bookmarkStart w:id="74"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9"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9"/>
    <w:bookmarkStart w:id="70" w:name="general-structure"/>
    <w:p>
      <w:pPr>
        <w:pStyle w:val="Heading4"/>
      </w:pPr>
      <w:r>
        <w:t xml:space="preserve">12.4.2.2 General structure</w:t>
      </w:r>
    </w:p>
    <w:p>
      <w:pPr>
        <w:pStyle w:val="FirstParagraph"/>
      </w:pPr>
      <w:r>
        <w:t xml:space="preserve">The parties choose:</w:t>
      </w:r>
    </w:p>
    <w:p>
      <w:pPr>
        <w:pStyle w:val="Compact"/>
        <w:numPr>
          <w:ilvl w:val="0"/>
          <w:numId w:val="1032"/>
        </w:numPr>
      </w:pPr>
      <w:r>
        <w:t xml:space="preserve">a central or base exchange rate,</w:t>
      </w:r>
    </w:p>
    <w:p>
      <w:pPr>
        <w:pStyle w:val="Compact"/>
        <w:numPr>
          <w:ilvl w:val="0"/>
          <w:numId w:val="1032"/>
        </w:numPr>
      </w:pPr>
      <w:r>
        <w:t xml:space="preserve">an acceptable band or range,</w:t>
      </w:r>
    </w:p>
    <w:p>
      <w:pPr>
        <w:pStyle w:val="Compact"/>
        <w:numPr>
          <w:ilvl w:val="0"/>
          <w:numId w:val="1032"/>
        </w:numPr>
      </w:pPr>
      <w:r>
        <w:t xml:space="preserve">a rule for splitting deviations outside the band.</w:t>
      </w:r>
    </w:p>
    <w:p>
      <w:pPr>
        <w:pStyle w:val="FirstParagraph"/>
      </w:pPr>
      <w:r>
        <w:t xml:space="preserve">Inside the band, the normal pricing rule applies. Outside the band, gains or losses are shared.</w:t>
      </w:r>
    </w:p>
    <w:bookmarkEnd w:id="70"/>
    <w:bookmarkStart w:id="71"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3"/>
        </w:numPr>
      </w:pPr>
      <w:r>
        <w:t xml:space="preserve">determine whether the spot rate is outside the contractual band;</w:t>
      </w:r>
    </w:p>
    <w:p>
      <w:pPr>
        <w:pStyle w:val="Compact"/>
        <w:numPr>
          <w:ilvl w:val="0"/>
          <w:numId w:val="1033"/>
        </w:numPr>
      </w:pPr>
      <w:r>
        <w:t xml:space="preserve">measure the amount outside the band;</w:t>
      </w:r>
    </w:p>
    <w:p>
      <w:pPr>
        <w:pStyle w:val="Compact"/>
        <w:numPr>
          <w:ilvl w:val="0"/>
          <w:numId w:val="1033"/>
        </w:numPr>
      </w:pPr>
      <w:r>
        <w:t xml:space="preserve">split that amount according to the agreed rule;</w:t>
      </w:r>
    </w:p>
    <w:p>
      <w:pPr>
        <w:pStyle w:val="Compact"/>
        <w:numPr>
          <w:ilvl w:val="0"/>
          <w:numId w:val="1033"/>
        </w:numPr>
      </w:pPr>
      <w:r>
        <w:t xml:space="preserve">use the adjusted rate to settle the invoice.</w:t>
      </w:r>
    </w:p>
    <w:bookmarkEnd w:id="71"/>
    <w:bookmarkStart w:id="72" w:name="why-this-is-attractive"/>
    <w:p>
      <w:pPr>
        <w:pStyle w:val="Heading4"/>
      </w:pPr>
      <w:r>
        <w:t xml:space="preserve">12.4.2.4 Why this is attractive</w:t>
      </w:r>
    </w:p>
    <w:p>
      <w:pPr>
        <w:pStyle w:val="FirstParagraph"/>
      </w:pPr>
      <w:r>
        <w:t xml:space="preserve">Risk-sharing:</w:t>
      </w:r>
    </w:p>
    <w:p>
      <w:pPr>
        <w:pStyle w:val="Compact"/>
        <w:numPr>
          <w:ilvl w:val="0"/>
          <w:numId w:val="1034"/>
        </w:numPr>
      </w:pPr>
      <w:r>
        <w:t xml:space="preserve">smooths large currency shocks,</w:t>
      </w:r>
    </w:p>
    <w:p>
      <w:pPr>
        <w:pStyle w:val="Compact"/>
        <w:numPr>
          <w:ilvl w:val="0"/>
          <w:numId w:val="1034"/>
        </w:numPr>
      </w:pPr>
      <w:r>
        <w:t xml:space="preserve">preserves supplier relationships,</w:t>
      </w:r>
    </w:p>
    <w:p>
      <w:pPr>
        <w:pStyle w:val="Compact"/>
        <w:numPr>
          <w:ilvl w:val="0"/>
          <w:numId w:val="1034"/>
        </w:numPr>
      </w:pPr>
      <w:r>
        <w:t xml:space="preserve">reduces the incentive for one side to walk away,</w:t>
      </w:r>
    </w:p>
    <w:p>
      <w:pPr>
        <w:pStyle w:val="Compact"/>
        <w:numPr>
          <w:ilvl w:val="0"/>
          <w:numId w:val="1034"/>
        </w:numPr>
      </w:pPr>
      <w:r>
        <w:t xml:space="preserve">spreads pain and gain more symmetrically.</w:t>
      </w:r>
    </w:p>
    <w:p>
      <w:pPr>
        <w:pStyle w:val="FirstParagraph"/>
      </w:pPr>
      <w:r>
        <w:t xml:space="preserve">The Harley-Davidson example shows how this can be implemented using neutral, sharing, and renegotiation zones.</w:t>
      </w:r>
    </w:p>
    <w:bookmarkEnd w:id="72"/>
    <w:bookmarkStart w:id="73"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3"/>
    <w:bookmarkEnd w:id="74"/>
    <w:bookmarkStart w:id="79"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5" w:name="basic-structure"/>
    <w:p>
      <w:pPr>
        <w:pStyle w:val="Heading4"/>
      </w:pPr>
      <w:r>
        <w:t xml:space="preserve">12.4.3.1 Basic structure</w:t>
      </w:r>
    </w:p>
    <w:p>
      <w:pPr>
        <w:pStyle w:val="FirstParagraph"/>
      </w:pPr>
      <w:r>
        <w:t xml:space="preserve">Imagine:</w:t>
      </w:r>
    </w:p>
    <w:p>
      <w:pPr>
        <w:pStyle w:val="Compact"/>
        <w:numPr>
          <w:ilvl w:val="0"/>
          <w:numId w:val="1035"/>
        </w:numPr>
      </w:pPr>
      <w:r>
        <w:t xml:space="preserve">a British parent wants to finance its Dutch subsidiary,</w:t>
      </w:r>
    </w:p>
    <w:p>
      <w:pPr>
        <w:pStyle w:val="Compact"/>
        <w:numPr>
          <w:ilvl w:val="0"/>
          <w:numId w:val="1035"/>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6"/>
        </w:numPr>
      </w:pPr>
      <w:r>
        <w:t xml:space="preserve">the British parent lends GBP to the Dutch firm’s British subsidiary,</w:t>
      </w:r>
    </w:p>
    <w:p>
      <w:pPr>
        <w:pStyle w:val="Compact"/>
        <w:numPr>
          <w:ilvl w:val="0"/>
          <w:numId w:val="1036"/>
        </w:numPr>
      </w:pPr>
      <w:r>
        <w:t xml:space="preserve">the Dutch parent lends EUR to the British firm’s Dutch subsidiary.</w:t>
      </w:r>
    </w:p>
    <w:p>
      <w:pPr>
        <w:pStyle w:val="FirstParagraph"/>
      </w:pPr>
      <w:r>
        <w:t xml:space="preserve">At maturity, the loans are repaid.</w:t>
      </w:r>
    </w:p>
    <w:bookmarkEnd w:id="75"/>
    <w:bookmarkStart w:id="76"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6"/>
    <w:bookmarkStart w:id="77" w:name="advantages"/>
    <w:p>
      <w:pPr>
        <w:pStyle w:val="Heading4"/>
      </w:pPr>
      <w:r>
        <w:t xml:space="preserve">12.4.3.3 Advantages</w:t>
      </w:r>
    </w:p>
    <w:p>
      <w:pPr>
        <w:pStyle w:val="Compact"/>
        <w:numPr>
          <w:ilvl w:val="0"/>
          <w:numId w:val="1037"/>
        </w:numPr>
      </w:pPr>
      <w:r>
        <w:t xml:space="preserve">can avoid direct exposure in the foreign exchange market;</w:t>
      </w:r>
    </w:p>
    <w:p>
      <w:pPr>
        <w:pStyle w:val="Compact"/>
        <w:numPr>
          <w:ilvl w:val="0"/>
          <w:numId w:val="1037"/>
        </w:numPr>
      </w:pPr>
      <w:r>
        <w:t xml:space="preserve">may help when capital transfer rules are restrictive;</w:t>
      </w:r>
    </w:p>
    <w:p>
      <w:pPr>
        <w:pStyle w:val="Compact"/>
        <w:numPr>
          <w:ilvl w:val="0"/>
          <w:numId w:val="1037"/>
        </w:numPr>
      </w:pPr>
      <w:r>
        <w:t xml:space="preserve">offsets exposure structurally.</w:t>
      </w:r>
    </w:p>
    <w:bookmarkEnd w:id="77"/>
    <w:bookmarkStart w:id="78"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8"/>
        </w:numPr>
      </w:pPr>
      <w:r>
        <w:t xml:space="preserve">finding the right counterparty;</w:t>
      </w:r>
    </w:p>
    <w:p>
      <w:pPr>
        <w:pStyle w:val="Compact"/>
        <w:numPr>
          <w:ilvl w:val="0"/>
          <w:numId w:val="1038"/>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8"/>
    <w:bookmarkEnd w:id="79"/>
    <w:bookmarkStart w:id="83"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80"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9"/>
        </w:numPr>
      </w:pPr>
      <w:r>
        <w:t xml:space="preserve">a Japanese firm earning USD from U.S. sales may want USD debt service instead of JPY debt service,</w:t>
      </w:r>
    </w:p>
    <w:p>
      <w:pPr>
        <w:pStyle w:val="Compact"/>
        <w:numPr>
          <w:ilvl w:val="0"/>
          <w:numId w:val="1039"/>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40"/>
        </w:numPr>
      </w:pPr>
      <w:r>
        <w:t xml:space="preserve">the Japanese firm pays USD and receives JPY,</w:t>
      </w:r>
    </w:p>
    <w:p>
      <w:pPr>
        <w:pStyle w:val="Compact"/>
        <w:numPr>
          <w:ilvl w:val="0"/>
          <w:numId w:val="1040"/>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80"/>
    <w:bookmarkStart w:id="81"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1"/>
        </w:numPr>
      </w:pPr>
      <w:r>
        <w:t xml:space="preserve">dealers can find counterparties more efficiently;</w:t>
      </w:r>
    </w:p>
    <w:p>
      <w:pPr>
        <w:pStyle w:val="Compact"/>
        <w:numPr>
          <w:ilvl w:val="0"/>
          <w:numId w:val="1041"/>
        </w:numPr>
      </w:pPr>
      <w:r>
        <w:t xml:space="preserve">the original counterparties often remain anonymous;</w:t>
      </w:r>
    </w:p>
    <w:p>
      <w:pPr>
        <w:pStyle w:val="Compact"/>
        <w:numPr>
          <w:ilvl w:val="0"/>
          <w:numId w:val="1041"/>
        </w:numPr>
      </w:pPr>
      <w:r>
        <w:t xml:space="preserve">the terms can be customized more readily;</w:t>
      </w:r>
    </w:p>
    <w:p>
      <w:pPr>
        <w:pStyle w:val="Compact"/>
        <w:numPr>
          <w:ilvl w:val="0"/>
          <w:numId w:val="1041"/>
        </w:numPr>
      </w:pPr>
      <w:r>
        <w:t xml:space="preserve">the transaction avoids some of the practical friction of direct paired loans.</w:t>
      </w:r>
    </w:p>
    <w:bookmarkEnd w:id="81"/>
    <w:bookmarkStart w:id="82"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2"/>
        </w:numPr>
      </w:pPr>
      <w:r>
        <w:t xml:space="preserve">the swap is generally treated as a foreign exchange transaction rather than conventional debt,</w:t>
      </w:r>
    </w:p>
    <w:p>
      <w:pPr>
        <w:pStyle w:val="Compact"/>
        <w:numPr>
          <w:ilvl w:val="0"/>
          <w:numId w:val="1042"/>
        </w:numPr>
      </w:pPr>
      <w:r>
        <w:t xml:space="preserve">the obligation to reverse the swap is treated like a forward contract,</w:t>
      </w:r>
    </w:p>
    <w:p>
      <w:pPr>
        <w:pStyle w:val="Compact"/>
        <w:numPr>
          <w:ilvl w:val="0"/>
          <w:numId w:val="1042"/>
        </w:numPr>
      </w:pPr>
      <w:r>
        <w:t xml:space="preserve">it therefore does not appear as long-term debt in the same way as a back-to-back loan.</w:t>
      </w:r>
    </w:p>
    <w:p>
      <w:pPr>
        <w:pStyle w:val="FirstParagraph"/>
      </w:pPr>
      <w:r>
        <w:t xml:space="preserve">This is why a strong test-bank answer should mention that currency swaps can help hedge operating exposure</w:t>
      </w:r>
      <w:r>
        <w:t xml:space="preserve"> </w:t>
      </w:r>
      <w:r>
        <w:rPr>
          <w:b/>
          <w:bCs/>
        </w:rPr>
        <w:t xml:space="preserve">without placing the equivalent loan directly on the balance sheet</w:t>
      </w:r>
      <w:r>
        <w:t xml:space="preserve">.</w:t>
      </w:r>
    </w:p>
    <w:bookmarkEnd w:id="82"/>
    <w:bookmarkEnd w:id="83"/>
    <w:bookmarkStart w:id="88"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4"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3"/>
        </w:numPr>
      </w:pPr>
      <w:r>
        <w:t xml:space="preserve">its own future foreign-currency cash flows; and</w:t>
      </w:r>
    </w:p>
    <w:p>
      <w:pPr>
        <w:pStyle w:val="Compact"/>
        <w:numPr>
          <w:ilvl w:val="0"/>
          <w:numId w:val="1043"/>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4"/>
    <w:bookmarkStart w:id="85"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5"/>
    <w:bookmarkStart w:id="86"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4"/>
        </w:numPr>
      </w:pPr>
      <w:r>
        <w:t xml:space="preserve">new plants,</w:t>
      </w:r>
    </w:p>
    <w:p>
      <w:pPr>
        <w:pStyle w:val="Compact"/>
        <w:numPr>
          <w:ilvl w:val="0"/>
          <w:numId w:val="1044"/>
        </w:numPr>
      </w:pPr>
      <w:r>
        <w:t xml:space="preserve">new suppliers,</w:t>
      </w:r>
    </w:p>
    <w:p>
      <w:pPr>
        <w:pStyle w:val="Compact"/>
        <w:numPr>
          <w:ilvl w:val="0"/>
          <w:numId w:val="1044"/>
        </w:numPr>
      </w:pPr>
      <w:r>
        <w:t xml:space="preserve">better market access,</w:t>
      </w:r>
    </w:p>
    <w:p>
      <w:pPr>
        <w:pStyle w:val="Compact"/>
        <w:numPr>
          <w:ilvl w:val="0"/>
          <w:numId w:val="1044"/>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6"/>
    <w:bookmarkStart w:id="87"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7"/>
    <w:bookmarkEnd w:id="88"/>
    <w:bookmarkEnd w:id="89"/>
    <w:bookmarkStart w:id="90"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5"/>
        </w:numPr>
      </w:pPr>
      <w:r>
        <w:t xml:space="preserve">operating exposure is also called economic, competitive, or strategic exposure;</w:t>
      </w:r>
    </w:p>
    <w:p>
      <w:pPr>
        <w:pStyle w:val="Compact"/>
        <w:numPr>
          <w:ilvl w:val="0"/>
          <w:numId w:val="1045"/>
        </w:numPr>
      </w:pPr>
      <w:r>
        <w:t xml:space="preserve">it arises from unexpected, not expected, exchange rate changes;</w:t>
      </w:r>
    </w:p>
    <w:p>
      <w:pPr>
        <w:pStyle w:val="Compact"/>
        <w:numPr>
          <w:ilvl w:val="0"/>
          <w:numId w:val="1045"/>
        </w:numPr>
      </w:pPr>
      <w:r>
        <w:t xml:space="preserve">it must be analyzed over time: short run, medium run, and long run;</w:t>
      </w:r>
    </w:p>
    <w:p>
      <w:pPr>
        <w:pStyle w:val="Compact"/>
        <w:numPr>
          <w:ilvl w:val="0"/>
          <w:numId w:val="1045"/>
        </w:numPr>
      </w:pPr>
      <w:r>
        <w:t xml:space="preserve">it depends on prices, costs, volumes, and competitor responses;</w:t>
      </w:r>
    </w:p>
    <w:p>
      <w:pPr>
        <w:pStyle w:val="Compact"/>
        <w:numPr>
          <w:ilvl w:val="0"/>
          <w:numId w:val="1045"/>
        </w:numPr>
      </w:pPr>
      <w:r>
        <w:t xml:space="preserve">multinational diversification in operations and financing can reduce vulnerability;</w:t>
      </w:r>
    </w:p>
    <w:p>
      <w:pPr>
        <w:pStyle w:val="Compact"/>
        <w:numPr>
          <w:ilvl w:val="0"/>
          <w:numId w:val="1045"/>
        </w:numPr>
      </w:pPr>
      <w:r>
        <w:t xml:space="preserve">proactive tools include matching, risk-sharing, back-to-back loans, swaps, and sometimes contractual hedges;</w:t>
      </w:r>
    </w:p>
    <w:p>
      <w:pPr>
        <w:pStyle w:val="Compact"/>
        <w:numPr>
          <w:ilvl w:val="0"/>
          <w:numId w:val="1045"/>
        </w:numPr>
      </w:pPr>
      <w:r>
        <w:t xml:space="preserve">structural flexibility is usually more powerful than hoping to forecast exchange rates perfectly.</w:t>
      </w:r>
    </w:p>
    <w:p>
      <w:r>
        <w:pict>
          <v:rect style="width:0;height:1.5pt" o:hralign="center" o:hrstd="t" o:hr="t"/>
        </w:pict>
      </w:r>
    </w:p>
    <w:bookmarkEnd w:id="90"/>
    <w:bookmarkStart w:id="93"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6"/>
        </w:numPr>
      </w:pPr>
      <w:r>
        <w:t xml:space="preserve">a large share of sales linked to USD,</w:t>
      </w:r>
    </w:p>
    <w:p>
      <w:pPr>
        <w:pStyle w:val="Compact"/>
        <w:numPr>
          <w:ilvl w:val="0"/>
          <w:numId w:val="1046"/>
        </w:numPr>
      </w:pPr>
      <w:r>
        <w:t xml:space="preserve">a large share of costs linked to GBP,</w:t>
      </w:r>
    </w:p>
    <w:p>
      <w:pPr>
        <w:pStyle w:val="Compact"/>
        <w:numPr>
          <w:ilvl w:val="0"/>
          <w:numId w:val="1046"/>
        </w:numPr>
      </w:pPr>
      <w:r>
        <w:t xml:space="preserve">and additional EUR-linked costs from continental sourcing.</w:t>
      </w:r>
    </w:p>
    <w:p>
      <w:pPr>
        <w:pStyle w:val="FirstParagraph"/>
      </w:pPr>
      <w:r>
        <w:t xml:space="preserve">That means Rolls-Royce was effectively:</w:t>
      </w:r>
    </w:p>
    <w:p>
      <w:pPr>
        <w:pStyle w:val="Compact"/>
        <w:numPr>
          <w:ilvl w:val="0"/>
          <w:numId w:val="1047"/>
        </w:numPr>
      </w:pPr>
      <w:r>
        <w:rPr>
          <w:b/>
          <w:bCs/>
        </w:rPr>
        <w:t xml:space="preserve">long USD</w:t>
      </w:r>
      <w:r>
        <w:t xml:space="preserve">, and</w:t>
      </w:r>
    </w:p>
    <w:p>
      <w:pPr>
        <w:pStyle w:val="Compact"/>
        <w:numPr>
          <w:ilvl w:val="0"/>
          <w:numId w:val="1047"/>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91" w:name="what-the-case-teaches"/>
    <w:p>
      <w:pPr>
        <w:pStyle w:val="Heading3"/>
      </w:pPr>
      <w:r>
        <w:t xml:space="preserve">12.5.1 What the case teaches</w:t>
      </w:r>
    </w:p>
    <w:p>
      <w:pPr>
        <w:pStyle w:val="Compact"/>
        <w:numPr>
          <w:ilvl w:val="0"/>
          <w:numId w:val="1048"/>
        </w:numPr>
      </w:pPr>
      <w:r>
        <w:rPr>
          <w:b/>
          <w:bCs/>
        </w:rPr>
        <w:t xml:space="preserve">Contractual hedges can stabilize short-run cash flows, but they cannot fully replace structural alignment.</w:t>
      </w:r>
    </w:p>
    <w:p>
      <w:pPr>
        <w:pStyle w:val="Compact"/>
        <w:numPr>
          <w:ilvl w:val="0"/>
          <w:numId w:val="1048"/>
        </w:numPr>
      </w:pPr>
      <w:r>
        <w:rPr>
          <w:b/>
          <w:bCs/>
        </w:rPr>
        <w:t xml:space="preserve">A favorable currency movement can still look disappointing if the firm has already locked in rates through hedging.</w:t>
      </w:r>
    </w:p>
    <w:p>
      <w:pPr>
        <w:pStyle w:val="Compact"/>
        <w:numPr>
          <w:ilvl w:val="0"/>
          <w:numId w:val="1048"/>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91"/>
    <w:bookmarkStart w:id="92"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9"/>
        </w:numPr>
      </w:pPr>
      <w:r>
        <w:t xml:space="preserve">more hedging,</w:t>
      </w:r>
    </w:p>
    <w:p>
      <w:pPr>
        <w:pStyle w:val="Compact"/>
        <w:numPr>
          <w:ilvl w:val="0"/>
          <w:numId w:val="1049"/>
        </w:numPr>
      </w:pPr>
      <w:r>
        <w:t xml:space="preserve">more continental production,</w:t>
      </w:r>
    </w:p>
    <w:p>
      <w:pPr>
        <w:pStyle w:val="Compact"/>
        <w:numPr>
          <w:ilvl w:val="0"/>
          <w:numId w:val="1049"/>
        </w:numPr>
      </w:pPr>
      <w:r>
        <w:t xml:space="preserve">more supplier diversification,</w:t>
      </w:r>
    </w:p>
    <w:p>
      <w:pPr>
        <w:pStyle w:val="Compact"/>
        <w:numPr>
          <w:ilvl w:val="0"/>
          <w:numId w:val="1049"/>
        </w:numPr>
      </w:pPr>
      <w:r>
        <w:t xml:space="preserve">more financing diversification,</w:t>
      </w:r>
    </w:p>
    <w:p>
      <w:pPr>
        <w:pStyle w:val="Compact"/>
        <w:numPr>
          <w:ilvl w:val="0"/>
          <w:numId w:val="1049"/>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2"/>
    <w:bookmarkEnd w:id="93"/>
    <w:bookmarkStart w:id="94" w:name="key-terms"/>
    <w:p>
      <w:pPr>
        <w:pStyle w:val="Heading2"/>
      </w:pPr>
      <w:r>
        <w:t xml:space="preserve">Key Terms</w:t>
      </w:r>
    </w:p>
    <w:p>
      <w:pPr>
        <w:pStyle w:val="Compact"/>
        <w:numPr>
          <w:ilvl w:val="0"/>
          <w:numId w:val="1050"/>
        </w:numPr>
      </w:pPr>
      <w:r>
        <w:t xml:space="preserve">Operating exposure</w:t>
      </w:r>
    </w:p>
    <w:p>
      <w:pPr>
        <w:pStyle w:val="Compact"/>
        <w:numPr>
          <w:ilvl w:val="0"/>
          <w:numId w:val="1050"/>
        </w:numPr>
      </w:pPr>
      <w:r>
        <w:t xml:space="preserve">Economic exposure</w:t>
      </w:r>
    </w:p>
    <w:p>
      <w:pPr>
        <w:pStyle w:val="Compact"/>
        <w:numPr>
          <w:ilvl w:val="0"/>
          <w:numId w:val="1050"/>
        </w:numPr>
      </w:pPr>
      <w:r>
        <w:t xml:space="preserve">Competitive exposure</w:t>
      </w:r>
    </w:p>
    <w:p>
      <w:pPr>
        <w:pStyle w:val="Compact"/>
        <w:numPr>
          <w:ilvl w:val="0"/>
          <w:numId w:val="1050"/>
        </w:numPr>
      </w:pPr>
      <w:r>
        <w:t xml:space="preserve">Strategic exposure</w:t>
      </w:r>
    </w:p>
    <w:p>
      <w:pPr>
        <w:pStyle w:val="Compact"/>
        <w:numPr>
          <w:ilvl w:val="0"/>
          <w:numId w:val="1050"/>
        </w:numPr>
      </w:pPr>
      <w:r>
        <w:t xml:space="preserve">Static exposure</w:t>
      </w:r>
    </w:p>
    <w:p>
      <w:pPr>
        <w:pStyle w:val="Compact"/>
        <w:numPr>
          <w:ilvl w:val="0"/>
          <w:numId w:val="1050"/>
        </w:numPr>
      </w:pPr>
      <w:r>
        <w:t xml:space="preserve">Dynamic exposure</w:t>
      </w:r>
    </w:p>
    <w:p>
      <w:pPr>
        <w:pStyle w:val="Compact"/>
        <w:numPr>
          <w:ilvl w:val="0"/>
          <w:numId w:val="1050"/>
        </w:numPr>
      </w:pPr>
      <w:r>
        <w:t xml:space="preserve">Operating cash flows</w:t>
      </w:r>
    </w:p>
    <w:p>
      <w:pPr>
        <w:pStyle w:val="Compact"/>
        <w:numPr>
          <w:ilvl w:val="0"/>
          <w:numId w:val="1050"/>
        </w:numPr>
      </w:pPr>
      <w:r>
        <w:t xml:space="preserve">Financing cash flows</w:t>
      </w:r>
    </w:p>
    <w:p>
      <w:pPr>
        <w:pStyle w:val="Compact"/>
        <w:numPr>
          <w:ilvl w:val="0"/>
          <w:numId w:val="1050"/>
        </w:numPr>
      </w:pPr>
      <w:r>
        <w:t xml:space="preserve">Disequilibrium</w:t>
      </w:r>
    </w:p>
    <w:p>
      <w:pPr>
        <w:pStyle w:val="Compact"/>
        <w:numPr>
          <w:ilvl w:val="0"/>
          <w:numId w:val="1050"/>
        </w:numPr>
      </w:pPr>
      <w:r>
        <w:t xml:space="preserve">Matching</w:t>
      </w:r>
    </w:p>
    <w:p>
      <w:pPr>
        <w:pStyle w:val="Compact"/>
        <w:numPr>
          <w:ilvl w:val="0"/>
          <w:numId w:val="1050"/>
        </w:numPr>
      </w:pPr>
      <w:r>
        <w:t xml:space="preserve">Natural hedge</w:t>
      </w:r>
    </w:p>
    <w:p>
      <w:pPr>
        <w:pStyle w:val="Compact"/>
        <w:numPr>
          <w:ilvl w:val="0"/>
          <w:numId w:val="1050"/>
        </w:numPr>
      </w:pPr>
      <w:r>
        <w:t xml:space="preserve">Currency switching</w:t>
      </w:r>
    </w:p>
    <w:p>
      <w:pPr>
        <w:pStyle w:val="Compact"/>
        <w:numPr>
          <w:ilvl w:val="0"/>
          <w:numId w:val="1050"/>
        </w:numPr>
      </w:pPr>
      <w:r>
        <w:t xml:space="preserve">Risk-sharing agreement</w:t>
      </w:r>
    </w:p>
    <w:p>
      <w:pPr>
        <w:pStyle w:val="Compact"/>
        <w:numPr>
          <w:ilvl w:val="0"/>
          <w:numId w:val="1050"/>
        </w:numPr>
      </w:pPr>
      <w:r>
        <w:t xml:space="preserve">Back-to-back loan</w:t>
      </w:r>
    </w:p>
    <w:p>
      <w:pPr>
        <w:pStyle w:val="Compact"/>
        <w:numPr>
          <w:ilvl w:val="0"/>
          <w:numId w:val="1050"/>
        </w:numPr>
      </w:pPr>
      <w:r>
        <w:t xml:space="preserve">Parallel loan</w:t>
      </w:r>
    </w:p>
    <w:p>
      <w:pPr>
        <w:pStyle w:val="Compact"/>
        <w:numPr>
          <w:ilvl w:val="0"/>
          <w:numId w:val="1050"/>
        </w:numPr>
      </w:pPr>
      <w:r>
        <w:t xml:space="preserve">Cross-currency swap</w:t>
      </w:r>
    </w:p>
    <w:p>
      <w:pPr>
        <w:pStyle w:val="Compact"/>
        <w:numPr>
          <w:ilvl w:val="0"/>
          <w:numId w:val="1050"/>
        </w:numPr>
      </w:pPr>
      <w:r>
        <w:t xml:space="preserve">Contractual hedge</w:t>
      </w:r>
    </w:p>
    <w:p>
      <w:pPr>
        <w:pStyle w:val="Compact"/>
        <w:numPr>
          <w:ilvl w:val="0"/>
          <w:numId w:val="1050"/>
        </w:numPr>
      </w:pPr>
      <w:r>
        <w:t xml:space="preserve">Macroeconomic uncertainty</w:t>
      </w:r>
    </w:p>
    <w:p>
      <w:r>
        <w:pict>
          <v:rect style="width:0;height:1.5pt" o:hralign="center" o:hrstd="t" o:hr="t"/>
        </w:pict>
      </w:r>
    </w:p>
    <w:bookmarkEnd w:id="94"/>
    <w:bookmarkStart w:id="95" w:name="review-questions-for-class-discussion"/>
    <w:p>
      <w:pPr>
        <w:pStyle w:val="Heading2"/>
      </w:pPr>
      <w:r>
        <w:t xml:space="preserve">Review Questions for Class Discussion</w:t>
      </w:r>
    </w:p>
    <w:p>
      <w:pPr>
        <w:pStyle w:val="Compact"/>
        <w:numPr>
          <w:ilvl w:val="0"/>
          <w:numId w:val="1051"/>
        </w:numPr>
      </w:pPr>
      <w:r>
        <w:t xml:space="preserve">Why are operating exposure, economic exposure, competitive exposure, and strategic exposure closely related terms?</w:t>
      </w:r>
    </w:p>
    <w:p>
      <w:pPr>
        <w:pStyle w:val="Compact"/>
        <w:numPr>
          <w:ilvl w:val="0"/>
          <w:numId w:val="1051"/>
        </w:numPr>
      </w:pPr>
      <w:r>
        <w:t xml:space="preserve">Why is operating exposure usually more important for long-run firm health than translation exposure?</w:t>
      </w:r>
    </w:p>
    <w:p>
      <w:pPr>
        <w:pStyle w:val="Compact"/>
        <w:numPr>
          <w:ilvl w:val="0"/>
          <w:numId w:val="1051"/>
        </w:numPr>
      </w:pPr>
      <w:r>
        <w:t xml:space="preserve">Why do expected exchange rate changes not count as operating exposure in the strict sense?</w:t>
      </w:r>
    </w:p>
    <w:p>
      <w:pPr>
        <w:pStyle w:val="Compact"/>
        <w:numPr>
          <w:ilvl w:val="0"/>
          <w:numId w:val="1051"/>
        </w:numPr>
      </w:pPr>
      <w:r>
        <w:t xml:space="preserve">How does the time horizon change the analysis of exposure?</w:t>
      </w:r>
    </w:p>
    <w:p>
      <w:pPr>
        <w:pStyle w:val="Compact"/>
        <w:numPr>
          <w:ilvl w:val="0"/>
          <w:numId w:val="1051"/>
        </w:numPr>
      </w:pPr>
      <w:r>
        <w:t xml:space="preserve">What is the difference between static and dynamic exposure?</w:t>
      </w:r>
    </w:p>
    <w:p>
      <w:pPr>
        <w:pStyle w:val="Compact"/>
        <w:numPr>
          <w:ilvl w:val="0"/>
          <w:numId w:val="1051"/>
        </w:numPr>
      </w:pPr>
      <w:r>
        <w:t xml:space="preserve">Why can a purely domestic firm still face operating exposure?</w:t>
      </w:r>
    </w:p>
    <w:p>
      <w:pPr>
        <w:pStyle w:val="Compact"/>
        <w:numPr>
          <w:ilvl w:val="0"/>
          <w:numId w:val="1051"/>
        </w:numPr>
      </w:pPr>
      <w:r>
        <w:t xml:space="preserve">How does diversification of operations reduce exposure?</w:t>
      </w:r>
    </w:p>
    <w:p>
      <w:pPr>
        <w:pStyle w:val="Compact"/>
        <w:numPr>
          <w:ilvl w:val="0"/>
          <w:numId w:val="1051"/>
        </w:numPr>
      </w:pPr>
      <w:r>
        <w:t xml:space="preserve">How does diversification of financing reduce exposure?</w:t>
      </w:r>
    </w:p>
    <w:p>
      <w:pPr>
        <w:pStyle w:val="Compact"/>
        <w:numPr>
          <w:ilvl w:val="0"/>
          <w:numId w:val="1051"/>
        </w:numPr>
      </w:pPr>
      <w:r>
        <w:t xml:space="preserve">Why are matching and natural hedges often attractive?</w:t>
      </w:r>
    </w:p>
    <w:p>
      <w:pPr>
        <w:pStyle w:val="Compact"/>
        <w:numPr>
          <w:ilvl w:val="0"/>
          <w:numId w:val="1051"/>
        </w:numPr>
      </w:pPr>
      <w:r>
        <w:t xml:space="preserve">Why might a firm prefer a cross-currency swap to a parallel loan?</w:t>
      </w:r>
    </w:p>
    <w:p>
      <w:pPr>
        <w:pStyle w:val="Compact"/>
        <w:numPr>
          <w:ilvl w:val="0"/>
          <w:numId w:val="1051"/>
        </w:numPr>
      </w:pPr>
      <w:r>
        <w:t xml:space="preserve">Why is contractual hedging of operating exposure controversial?</w:t>
      </w:r>
    </w:p>
    <w:p>
      <w:pPr>
        <w:pStyle w:val="Compact"/>
        <w:numPr>
          <w:ilvl w:val="0"/>
          <w:numId w:val="1051"/>
        </w:numPr>
      </w:pPr>
      <w:r>
        <w:t xml:space="preserve">What does the Rolls-Royce case teach us about the limits of derivative hedging?</w:t>
      </w:r>
    </w:p>
    <w:p>
      <w:r>
        <w:pict>
          <v:rect style="width:0;height:1.5pt" o:hralign="center" o:hrstd="t" o:hr="t"/>
        </w:pict>
      </w:r>
    </w:p>
    <w:bookmarkEnd w:id="95"/>
    <w:bookmarkStart w:id="96" w:name="instructor-notes"/>
    <w:p>
      <w:pPr>
        <w:pStyle w:val="Heading2"/>
      </w:pPr>
      <w:r>
        <w:t xml:space="preserve">Instructor Notes</w:t>
      </w:r>
    </w:p>
    <w:p>
      <w:pPr>
        <w:pStyle w:val="Compact"/>
        <w:numPr>
          <w:ilvl w:val="0"/>
          <w:numId w:val="1052"/>
        </w:numPr>
      </w:pPr>
      <w:r>
        <w:t xml:space="preserve">Operating exposure measures the change in firm value resulting from unexpected exchange-rate-induced changes in future operating cash flows.</w:t>
      </w:r>
    </w:p>
    <w:p>
      <w:pPr>
        <w:pStyle w:val="Compact"/>
        <w:numPr>
          <w:ilvl w:val="0"/>
          <w:numId w:val="1052"/>
        </w:numPr>
      </w:pPr>
      <w:r>
        <w:t xml:space="preserve">Operating exposure is far more important for long-run business health than transaction or translation exposure.</w:t>
      </w:r>
    </w:p>
    <w:p>
      <w:pPr>
        <w:pStyle w:val="Compact"/>
        <w:numPr>
          <w:ilvl w:val="0"/>
          <w:numId w:val="1052"/>
        </w:numPr>
      </w:pPr>
      <w:r>
        <w:t xml:space="preserve">Operating cash flows arise from goods, services, royalties, rents, and management fees; financing cash flows arise from debt service, equity injections, and dividends.</w:t>
      </w:r>
    </w:p>
    <w:p>
      <w:pPr>
        <w:pStyle w:val="Compact"/>
        <w:numPr>
          <w:ilvl w:val="0"/>
          <w:numId w:val="1052"/>
        </w:numPr>
      </w:pPr>
      <w:r>
        <w:t xml:space="preserve">Payment for goods and services is an operating cash flow, not a financing cash flow.</w:t>
      </w:r>
    </w:p>
    <w:p>
      <w:pPr>
        <w:pStyle w:val="Compact"/>
        <w:numPr>
          <w:ilvl w:val="0"/>
          <w:numId w:val="1052"/>
        </w:numPr>
      </w:pPr>
      <w:r>
        <w:t xml:space="preserve">In the short run, prices and costs are relatively sticky; in the long run, both prices and volumes are much more flexible.</w:t>
      </w:r>
    </w:p>
    <w:p>
      <w:pPr>
        <w:pStyle w:val="Compact"/>
        <w:numPr>
          <w:ilvl w:val="0"/>
          <w:numId w:val="1052"/>
        </w:numPr>
      </w:pPr>
      <w:r>
        <w:t xml:space="preserve">A depreciation of the home currency generally tends to improve export competitiveness and reduce import competitiveness, other things equal.</w:t>
      </w:r>
    </w:p>
    <w:p>
      <w:pPr>
        <w:pStyle w:val="Compact"/>
        <w:numPr>
          <w:ilvl w:val="0"/>
          <w:numId w:val="1052"/>
        </w:numPr>
      </w:pPr>
      <w:r>
        <w:t xml:space="preserve">Management does not need to predict disequilibrium perfectly; it needs to recognize it and be positioned to respond.</w:t>
      </w:r>
    </w:p>
    <w:p>
      <w:pPr>
        <w:pStyle w:val="Compact"/>
        <w:numPr>
          <w:ilvl w:val="0"/>
          <w:numId w:val="1052"/>
        </w:numPr>
      </w:pPr>
      <w:r>
        <w:t xml:space="preserve">Diversifying operations and diversifying financing are the two major strategic approaches.</w:t>
      </w:r>
    </w:p>
    <w:p>
      <w:pPr>
        <w:pStyle w:val="Compact"/>
        <w:numPr>
          <w:ilvl w:val="0"/>
          <w:numId w:val="1052"/>
        </w:numPr>
      </w:pPr>
      <w:r>
        <w:t xml:space="preserve">Matching, risk-sharing, parallel loans, and cross-currency swaps are among the most common proactive policies.</w:t>
      </w:r>
    </w:p>
    <w:p>
      <w:pPr>
        <w:pStyle w:val="Compact"/>
        <w:numPr>
          <w:ilvl w:val="0"/>
          <w:numId w:val="1052"/>
        </w:numPr>
      </w:pPr>
      <w:r>
        <w:t xml:space="preserve">Currency swaps typically offer an accounting advantage because they are treated more like foreign exchange transactions than conventional on-balance-sheet debt.</w:t>
      </w:r>
    </w:p>
    <w:p>
      <w:pPr>
        <w:pStyle w:val="Compact"/>
        <w:numPr>
          <w:ilvl w:val="0"/>
          <w:numId w:val="1052"/>
        </w:numPr>
      </w:pPr>
      <w:r>
        <w:t xml:space="preserve">Contractual hedges can support exposure management, but the evidence does not suggest that they fully eliminate long-run operating exposure.</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2026-04-06T03:58:02Z</dcterms:created>
  <dcterms:modified xsi:type="dcterms:W3CDTF">2026-04-06T03:58:02Z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