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v.1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2026-01-13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 </w:t>
      </w: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 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dd7f44896839830482d3d656c6503460972a1e"/>
    <w:p>
      <w:pPr>
        <w:pStyle w:val="Heading2"/>
      </w:pPr>
      <w:r>
        <w:t xml:space="preserve">1.1 History of the International Monetary System</w:t>
      </w:r>
    </w:p>
    <w:bookmarkStart w:id="21" w:name="the-classical-gold-standard-1879-1913"/>
    <w:p>
      <w:pPr>
        <w:pStyle w:val="Heading3"/>
      </w:pPr>
      <w:r>
        <w:t xml:space="preserve">1.1.1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1.1.2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1.1.3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contemporary-regimes"/>
    <w:p>
      <w:pPr>
        <w:pStyle w:val="Heading2"/>
      </w:pPr>
      <w:r>
        <w:t xml:space="preserve">1.2 Contemporary Regimes</w:t>
      </w:r>
    </w:p>
    <w:bookmarkStart w:id="25" w:name="Xc0c428e15b4abe413c5141c219dcde403510031"/>
    <w:p>
      <w:pPr>
        <w:pStyle w:val="Heading3"/>
      </w:pPr>
      <w:r>
        <w:t xml:space="preserve">1.2.1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the-impossible-trinity"/>
    <w:p>
      <w:pPr>
        <w:pStyle w:val="Heading2"/>
      </w:pPr>
      <w:r>
        <w:t xml:space="preserve">1.3 The Impossible Trinity</w:t>
      </w:r>
    </w:p>
    <w:bookmarkStart w:id="27" w:name="the-core-framework"/>
    <w:p>
      <w:pPr>
        <w:pStyle w:val="Heading3"/>
      </w:pPr>
      <w:r>
        <w:t xml:space="preserve">1.3.1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a-single-currency-for-europe-the-euro"/>
    <w:p>
      <w:pPr>
        <w:pStyle w:val="Heading2"/>
      </w:pPr>
      <w:r>
        <w:t xml:space="preserve">1.4 A Single Currency for Europe: The Euro</w:t>
      </w:r>
    </w:p>
    <w:bookmarkStart w:id="29" w:name="creation-timeline"/>
    <w:p>
      <w:pPr>
        <w:pStyle w:val="Heading3"/>
      </w:pPr>
      <w:r>
        <w:t xml:space="preserve">1.4.1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1.4.2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1.4.3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1.4.4 The Launch of the Euro</w:t>
      </w:r>
    </w:p>
    <w:bookmarkEnd w:id="32"/>
    <w:bookmarkStart w:id="33" w:name="benefits"/>
    <w:p>
      <w:pPr>
        <w:pStyle w:val="Heading3"/>
      </w:pPr>
      <w:r>
        <w:t xml:space="preserve">1.4.5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1.4.6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1.4.7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emerging-markets"/>
    <w:p>
      <w:pPr>
        <w:pStyle w:val="Heading2"/>
      </w:pPr>
      <w:r>
        <w:t xml:space="preserve">1.5 Emerging Markets</w:t>
      </w:r>
    </w:p>
    <w:bookmarkStart w:id="37" w:name="currency-boards-argentina-1991-2001"/>
    <w:p>
      <w:pPr>
        <w:pStyle w:val="Heading3"/>
      </w:pPr>
      <w:r>
        <w:t xml:space="preserve">1.5.1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1.5.2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1.5.3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chinese-rmb"/>
    <w:p>
      <w:pPr>
        <w:pStyle w:val="Heading2"/>
      </w:pPr>
      <w:r>
        <w:t xml:space="preserve">1.6 Chinese RMB</w:t>
      </w:r>
    </w:p>
    <w:bookmarkStart w:id="41" w:name="two-market-structure"/>
    <w:p>
      <w:pPr>
        <w:pStyle w:val="Heading3"/>
      </w:pPr>
      <w:r>
        <w:t xml:space="preserve">1.6.1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1.6.2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1.6.3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1.6.4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reserve-currencies-digital-currency"/>
    <w:p>
      <w:pPr>
        <w:pStyle w:val="Heading2"/>
      </w:pPr>
      <w:r>
        <w:t xml:space="preserve">1.7 Reserve Currencies &amp; Digital Currency</w:t>
      </w:r>
    </w:p>
    <w:bookmarkStart w:id="46" w:name="current-landscape"/>
    <w:p>
      <w:pPr>
        <w:pStyle w:val="Heading3"/>
      </w:pPr>
      <w:r>
        <w:t xml:space="preserve">1.7.1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1.7.2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1.7.3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1.7.4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1.7.5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"/>
    <w:p>
      <w:pPr>
        <w:pStyle w:val="Heading2"/>
      </w:pPr>
      <w:r>
        <w:t xml:space="preserve">1.8 Conclusion</w:t>
      </w:r>
    </w:p>
    <w:bookmarkStart w:id="52" w:name="five-key-lessons"/>
    <w:p>
      <w:pPr>
        <w:pStyle w:val="Heading3"/>
      </w:pPr>
      <w:r>
        <w:t xml:space="preserve">1.8.1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1.8.2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v.1</dc:title>
  <dc:creator>Prof. Barker</dc:creator>
  <cp:keywords/>
  <dcterms:created xsi:type="dcterms:W3CDTF">2026-01-14T02:49:21Z</dcterms:created>
  <dcterms:modified xsi:type="dcterms:W3CDTF">2026-01-14T02:49:21Z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2026-01-13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