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4.2 - Financial Goals, Corporate Governance, and the Market for Corporate Control</w:t>
      </w:r>
    </w:p>
    <w:p>
      <w:pPr>
        <w:pStyle w:val="Author"/>
      </w:pPr>
      <w:r>
        <w:t xml:space="preserve">Prof. Barker</w:t>
      </w:r>
    </w:p>
    <w:p>
      <w:pPr>
        <w:pStyle w:val="Date"/>
      </w:pPr>
      <w:r>
        <w:t xml:space="preserve">2026-03-10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4.2 - Financial Goals, Corporate Governance, and the Market for Corporate Control</dc:title>
  <dc:creator>Prof. Barker</dc:creator>
  <cp:keywords/>
  <dcterms:created xsi:type="dcterms:W3CDTF">2026-03-11T04:04:12Z</dcterms:created>
  <dcterms:modified xsi:type="dcterms:W3CDTF">2026-03-11T04:04:12Z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2026-03-10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