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4.1 - Financial Goals, Corporate Governance, and the Market for Corporate Control</w:t>
      </w:r>
    </w:p>
    <w:p>
      <w:pPr>
        <w:pStyle w:val="Author"/>
      </w:pPr>
      <w:r>
        <w:t xml:space="preserve">Prof. Barker</w:t>
      </w:r>
    </w:p>
    <w:p>
      <w:pPr>
        <w:pStyle w:val="Date"/>
      </w:pPr>
      <w:r>
        <w:t xml:space="preserve">2026-03-15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1. Introduction</w:t>
      </w:r>
    </w:p>
    <w:p>
      <w:pPr>
        <w:pStyle w:val="FirstParagraph"/>
      </w:pPr>
      <w:r>
        <w:t xml:space="preserve">Random 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End w:id="22"/>
    <w:bookmarkStart w:id="42" w:name="business-ownership"/>
    <w:p>
      <w:pPr>
        <w:pStyle w:val="Heading1"/>
      </w:pPr>
      <w:r>
        <w:t xml:space="preserve">2.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9" w:name="types-of-ownership"/>
    <w:p>
      <w:pPr>
        <w:pStyle w:val="Heading2"/>
      </w:pPr>
      <w:r>
        <w:t xml:space="preserve">2.1 Types of Ownership</w:t>
      </w:r>
    </w:p>
    <w:p>
      <w:pPr>
        <w:pStyle w:val="FirstParagraph"/>
      </w:pPr>
      <w:r>
        <w:t xml:space="preserve">The terminology associated with the ownership of a business can be confusing. Let’s clarify the key distinctions:</w:t>
      </w:r>
    </w:p>
    <w:bookmarkStart w:id="23" w:name="public-vs.-private-enterprise"/>
    <w:p>
      <w:pPr>
        <w:pStyle w:val="Heading3"/>
      </w:pPr>
      <w:r>
        <w:t xml:space="preserve">2.1.1 Public vs. Private Enterprise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3"/>
    <w:bookmarkStart w:id="24" w:name="hybrid-ownership-structures"/>
    <w:p>
      <w:pPr>
        <w:pStyle w:val="Heading3"/>
      </w:pPr>
      <w:r>
        <w:t xml:space="preserve">2.1.2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4"/>
    <w:bookmarkStart w:id="25" w:name="ownership-examples"/>
    <w:p>
      <w:pPr>
        <w:pStyle w:val="Heading3"/>
      </w:pPr>
      <w:r>
        <w:t xml:space="preserve">2.1.3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5"/>
    <w:bookmarkStart w:id="26" w:name="understanding-ownership-and-control"/>
    <w:p>
      <w:pPr>
        <w:pStyle w:val="Heading3"/>
      </w:pPr>
      <w:r>
        <w:t xml:space="preserve">2.1.4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41"/>
        <w:gridCol w:w="2436"/>
        <w:gridCol w:w="2741"/>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6"/>
    <w:bookmarkStart w:id="27" w:name="going-public-and-going-private"/>
    <w:p>
      <w:pPr>
        <w:pStyle w:val="Heading3"/>
      </w:pPr>
      <w:r>
        <w:t xml:space="preserve">2.1.5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7"/>
    <w:bookmarkStart w:id="28" w:name="implications-of-going-public"/>
    <w:p>
      <w:pPr>
        <w:pStyle w:val="Heading3"/>
      </w:pPr>
      <w:r>
        <w:t xml:space="preserve">2.1.6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8"/>
    <w:bookmarkEnd w:id="29"/>
    <w:bookmarkStart w:id="35" w:name="the-corporation"/>
    <w:p>
      <w:pPr>
        <w:pStyle w:val="Heading2"/>
      </w:pPr>
      <w:r>
        <w:t xml:space="preserve">2.2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30" w:name="characteristics-of-a-corporation"/>
    <w:p>
      <w:pPr>
        <w:pStyle w:val="Heading3"/>
      </w:pPr>
      <w:r>
        <w:t xml:space="preserve">2.2.1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30"/>
    <w:bookmarkStart w:id="31" w:name="how-corporations-are-formed"/>
    <w:p>
      <w:pPr>
        <w:pStyle w:val="Heading3"/>
      </w:pPr>
      <w:r>
        <w:t xml:space="preserve">2.2.2 How Corporations are Formed</w:t>
      </w:r>
    </w:p>
    <w:p>
      <w:pPr>
        <w:pStyle w:val="FirstParagraph"/>
      </w:pPr>
      <w:r>
        <w:t xml:space="preserve">Corporations are formed when individuals exchange some form of consideration, typically cash, in exchange for a</w:t>
      </w:r>
      <w:r>
        <w:t xml:space="preserve"> </w:t>
      </w:r>
      <w:r>
        <w:rPr>
          <w:b/>
          <w:bCs/>
        </w:rPr>
        <w:t xml:space="preserve">financial interest</w:t>
      </w:r>
      <w:r>
        <w:t xml:space="preserve">—the interest entitling the shareholder to a portion of any profits.</w:t>
      </w:r>
    </w:p>
    <w:bookmarkEnd w:id="31"/>
    <w:bookmarkStart w:id="32" w:name="limited-liability"/>
    <w:p>
      <w:pPr>
        <w:pStyle w:val="Heading3"/>
      </w:pPr>
      <w:r>
        <w:t xml:space="preserve">2.2.3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2"/>
    <w:bookmarkStart w:id="33" w:name="complexities-of-the-corporate-form"/>
    <w:p>
      <w:pPr>
        <w:pStyle w:val="Heading3"/>
      </w:pPr>
      <w:r>
        <w:t xml:space="preserve">2.2.4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3"/>
    <w:bookmarkStart w:id="34" w:name="Xdb79a340c65bab76ed94f8d230da2b75903f7e6"/>
    <w:p>
      <w:pPr>
        <w:pStyle w:val="Heading3"/>
      </w:pPr>
      <w:r>
        <w:t xml:space="preserve">2.2.5 Historical Origins of the Modern Corporation</w:t>
      </w:r>
    </w:p>
    <w:p>
      <w:pPr>
        <w:pStyle w:val="FirstParagraph"/>
      </w:pPr>
      <w:r>
        <w:t xml:space="preserve">The corporate form has many historical antecedents:</w:t>
      </w:r>
    </w:p>
    <w:p>
      <w:pPr>
        <w:pStyle w:val="Compact"/>
        <w:numPr>
          <w:ilvl w:val="0"/>
          <w:numId w:val="1012"/>
        </w:numPr>
      </w:pPr>
      <w:r>
        <w:rPr>
          <w:b/>
          <w:bCs/>
        </w:rPr>
        <w:t xml:space="preserve">11th century Italy:</w:t>
      </w:r>
      <w:r>
        <w:t xml:space="preserve"> </w:t>
      </w:r>
      <w:r>
        <w:t xml:space="preserve">The</w:t>
      </w:r>
      <w:r>
        <w:t xml:space="preserve"> </w:t>
      </w:r>
      <w:r>
        <w:rPr>
          <w:i/>
          <w:iCs/>
        </w:rPr>
        <w:t xml:space="preserve">commenda</w:t>
      </w:r>
      <w:r>
        <w:t xml:space="preserve"> </w:t>
      </w:r>
      <w:r>
        <w:t xml:space="preserve">system combined a financial partner (passive partner) with a merchant vessel (managing partner)</w:t>
      </w:r>
    </w:p>
    <w:p>
      <w:pPr>
        <w:pStyle w:val="Compact"/>
        <w:numPr>
          <w:ilvl w:val="0"/>
          <w:numId w:val="1012"/>
        </w:numPr>
      </w:pPr>
      <w:r>
        <w:rPr>
          <w:b/>
          <w:bCs/>
        </w:rPr>
        <w:t xml:space="preserve">1600s Britain:</w:t>
      </w:r>
      <w:r>
        <w:t xml:space="preserve"> </w:t>
      </w:r>
      <w:r>
        <w:t xml:space="preserve">Joint stock companies pooled capital for risky ventures requiring more resources than individual investors could bear</w:t>
      </w:r>
    </w:p>
    <w:p>
      <w:pPr>
        <w:pStyle w:val="Compact"/>
        <w:numPr>
          <w:ilvl w:val="0"/>
          <w:numId w:val="1012"/>
        </w:numPr>
      </w:pPr>
      <w:r>
        <w:rPr>
          <w:b/>
          <w:bCs/>
        </w:rPr>
        <w:t xml:space="preserve">English East India Company:</w:t>
      </w:r>
      <w:r>
        <w:t xml:space="preserve"> </w:t>
      </w:r>
      <w:r>
        <w:t xml:space="preserve">Granted monopoly by the Crown to conduct trade with India</w:t>
      </w:r>
    </w:p>
    <w:p>
      <w:pPr>
        <w:pStyle w:val="Compact"/>
        <w:numPr>
          <w:ilvl w:val="0"/>
          <w:numId w:val="1012"/>
        </w:numPr>
      </w:pPr>
      <w:r>
        <w:rPr>
          <w:b/>
          <w:bCs/>
        </w:rPr>
        <w:t xml:space="preserve">Virginia Company (1606):</w:t>
      </w:r>
      <w:r>
        <w:t xml:space="preserve"> </w:t>
      </w:r>
      <w:r>
        <w:t xml:space="preserve">Two joint stock companies chartered by James I to establish colonies on the North American coast—self-governance was later seen as one of the seeds of American democracy</w:t>
      </w:r>
    </w:p>
    <w:bookmarkEnd w:id="34"/>
    <w:bookmarkEnd w:id="35"/>
    <w:bookmarkStart w:id="41" w:name="separation-of-ownership-and-management"/>
    <w:p>
      <w:pPr>
        <w:pStyle w:val="Heading2"/>
      </w:pPr>
      <w:r>
        <w:t xml:space="preserve">2.3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6" w:name="the-agency-problem"/>
    <w:p>
      <w:pPr>
        <w:pStyle w:val="Heading3"/>
      </w:pPr>
      <w:r>
        <w:t xml:space="preserve">2.3.1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3"/>
        </w:numPr>
      </w:pPr>
      <w:r>
        <w:t xml:space="preserve">Different business and financial objectives</w:t>
      </w:r>
    </w:p>
    <w:p>
      <w:pPr>
        <w:pStyle w:val="Compact"/>
        <w:numPr>
          <w:ilvl w:val="0"/>
          <w:numId w:val="1013"/>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6"/>
    <w:bookmarkStart w:id="37" w:name="examples-of-agency-issues"/>
    <w:p>
      <w:pPr>
        <w:pStyle w:val="Heading3"/>
      </w:pPr>
      <w:r>
        <w:t xml:space="preserve">2.3.2 Examples of Agency Issues</w:t>
      </w:r>
    </w:p>
    <w:p>
      <w:pPr>
        <w:pStyle w:val="Compact"/>
        <w:numPr>
          <w:ilvl w:val="0"/>
          <w:numId w:val="1014"/>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4"/>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bookmarkEnd w:id="37"/>
    <w:bookmarkStart w:id="38" w:name="strategies-for-aligning-interests"/>
    <w:p>
      <w:pPr>
        <w:pStyle w:val="Heading3"/>
      </w:pPr>
      <w:r>
        <w:t xml:space="preserve">2.3.3 Strategies for Aligning Interests</w:t>
      </w:r>
    </w:p>
    <w:p>
      <w:pPr>
        <w:pStyle w:val="FirstParagraph"/>
      </w:pPr>
      <w:r>
        <w:t xml:space="preserve">There are several strategies available for aligning shareholder and management interests:</w:t>
      </w:r>
    </w:p>
    <w:p>
      <w:pPr>
        <w:pStyle w:val="Compact"/>
        <w:numPr>
          <w:ilvl w:val="0"/>
          <w:numId w:val="1015"/>
        </w:numPr>
      </w:pPr>
      <w:r>
        <w:t xml:space="preserve">Senior management ownership of shares</w:t>
      </w:r>
    </w:p>
    <w:p>
      <w:pPr>
        <w:pStyle w:val="Compact"/>
        <w:numPr>
          <w:ilvl w:val="0"/>
          <w:numId w:val="1015"/>
        </w:numPr>
      </w:pPr>
      <w:r>
        <w:t xml:space="preserve">Share options tied to company performance</w:t>
      </w:r>
    </w:p>
    <w:p>
      <w:pPr>
        <w:pStyle w:val="Compact"/>
        <w:numPr>
          <w:ilvl w:val="0"/>
          <w:numId w:val="1015"/>
        </w:numPr>
      </w:pPr>
      <w:r>
        <w:t xml:space="preserve">Performance-based compensation systems</w:t>
      </w:r>
    </w:p>
    <w:bookmarkEnd w:id="38"/>
    <w:bookmarkStart w:id="39" w:name="global-variations-in-ownership-structure"/>
    <w:p>
      <w:pPr>
        <w:pStyle w:val="Heading3"/>
      </w:pPr>
      <w:r>
        <w:t xml:space="preserve">2.3.4 Global Variations in Ownership Structure</w:t>
      </w:r>
    </w:p>
    <w:p>
      <w:pPr>
        <w:pStyle w:val="FirstParagraph"/>
      </w:pPr>
      <w:r>
        <w:rPr>
          <w:b/>
          <w:bCs/>
        </w:rPr>
        <w:t xml:space="preserve">Anglo-American Markets (U.S. and U.K.):</w:t>
      </w:r>
    </w:p>
    <w:p>
      <w:pPr>
        <w:pStyle w:val="Compact"/>
        <w:numPr>
          <w:ilvl w:val="0"/>
          <w:numId w:val="1016"/>
        </w:numPr>
      </w:pPr>
      <w:r>
        <w:t xml:space="preserve">Characterized by widespread ownership of shares</w:t>
      </w:r>
    </w:p>
    <w:p>
      <w:pPr>
        <w:pStyle w:val="Compact"/>
        <w:numPr>
          <w:ilvl w:val="0"/>
          <w:numId w:val="1016"/>
        </w:numPr>
      </w:pPr>
      <w:r>
        <w:t xml:space="preserve">Managers may own some small portion of stock</w:t>
      </w:r>
    </w:p>
    <w:p>
      <w:pPr>
        <w:pStyle w:val="Compact"/>
        <w:numPr>
          <w:ilvl w:val="0"/>
          <w:numId w:val="1016"/>
        </w:numPr>
      </w:pPr>
      <w:r>
        <w:t xml:space="preserve">Management is largely a hired agent expected to represent shareholder interests</w:t>
      </w:r>
    </w:p>
    <w:p>
      <w:pPr>
        <w:pStyle w:val="FirstParagraph"/>
      </w:pPr>
      <w:r>
        <w:rPr>
          <w:b/>
          <w:bCs/>
        </w:rPr>
        <w:t xml:space="preserve">Non-Anglo-American Markets:</w:t>
      </w:r>
    </w:p>
    <w:p>
      <w:pPr>
        <w:pStyle w:val="Compact"/>
        <w:numPr>
          <w:ilvl w:val="0"/>
          <w:numId w:val="1017"/>
        </w:numPr>
      </w:pPr>
      <w:r>
        <w:t xml:space="preserve">Characterized by controlling shareholders such as:</w:t>
      </w:r>
    </w:p>
    <w:p>
      <w:pPr>
        <w:pStyle w:val="Compact"/>
        <w:numPr>
          <w:ilvl w:val="1"/>
          <w:numId w:val="1018"/>
        </w:numPr>
      </w:pPr>
      <w:r>
        <w:t xml:space="preserve">Government</w:t>
      </w:r>
    </w:p>
    <w:p>
      <w:pPr>
        <w:pStyle w:val="Compact"/>
        <w:numPr>
          <w:ilvl w:val="1"/>
          <w:numId w:val="1018"/>
        </w:numPr>
      </w:pPr>
      <w:r>
        <w:t xml:space="preserve">Institutions (e.g., banks in Germany)</w:t>
      </w:r>
    </w:p>
    <w:p>
      <w:pPr>
        <w:pStyle w:val="Compact"/>
        <w:numPr>
          <w:ilvl w:val="1"/>
          <w:numId w:val="1018"/>
        </w:numPr>
      </w:pPr>
      <w:r>
        <w:t xml:space="preserve">Family (e.g., in France, Italy, and throughout Asia and Latin America)</w:t>
      </w:r>
    </w:p>
    <w:p>
      <w:pPr>
        <w:pStyle w:val="Compact"/>
        <w:numPr>
          <w:ilvl w:val="1"/>
          <w:numId w:val="1018"/>
        </w:numPr>
      </w:pPr>
      <w:r>
        <w:t xml:space="preserve">Consortiums of interests (e.g.,</w:t>
      </w:r>
      <w:r>
        <w:t xml:space="preserve"> </w:t>
      </w:r>
      <w:r>
        <w:rPr>
          <w:i/>
          <w:iCs/>
        </w:rPr>
        <w:t xml:space="preserve">keiretsus</w:t>
      </w:r>
      <w:r>
        <w:t xml:space="preserve"> </w:t>
      </w:r>
      <w:r>
        <w:t xml:space="preserve">in Japan and</w:t>
      </w:r>
      <w:r>
        <w:t xml:space="preserve"> </w:t>
      </w:r>
      <w:r>
        <w:rPr>
          <w:i/>
          <w:iCs/>
        </w:rPr>
        <w:t xml:space="preserve">chaebols</w:t>
      </w:r>
      <w:r>
        <w:t xml:space="preserve"> </w:t>
      </w:r>
      <w:r>
        <w:t xml:space="preserve">in South Korea)</w:t>
      </w:r>
    </w:p>
    <w:p>
      <w:pPr>
        <w:pStyle w:val="FirstParagraph"/>
      </w:pPr>
      <w:r>
        <w:rPr>
          <w:b/>
          <w:bCs/>
        </w:rPr>
        <w:t xml:space="preserve">Key Point:</w:t>
      </w:r>
      <w:r>
        <w:t xml:space="preserve"> </w:t>
      </w:r>
      <w:r>
        <w:t xml:space="preserve">A business that is owned and managed by the same entity does not suffer the agency problem. In many of these cases, control is enhanced by:</w:t>
      </w:r>
    </w:p>
    <w:p>
      <w:pPr>
        <w:pStyle w:val="Compact"/>
        <w:numPr>
          <w:ilvl w:val="0"/>
          <w:numId w:val="1019"/>
        </w:numPr>
      </w:pPr>
      <w:r>
        <w:t xml:space="preserve">Ownership of shares with dual voting rights</w:t>
      </w:r>
    </w:p>
    <w:p>
      <w:pPr>
        <w:pStyle w:val="Compact"/>
        <w:numPr>
          <w:ilvl w:val="0"/>
          <w:numId w:val="1019"/>
        </w:numPr>
      </w:pPr>
      <w:r>
        <w:t xml:space="preserve">Interlocking directorates</w:t>
      </w:r>
    </w:p>
    <w:p>
      <w:pPr>
        <w:pStyle w:val="Compact"/>
        <w:numPr>
          <w:ilvl w:val="0"/>
          <w:numId w:val="1019"/>
        </w:numPr>
      </w:pPr>
      <w:r>
        <w:t xml:space="preserve">Staggered election of the board of directors</w:t>
      </w:r>
    </w:p>
    <w:p>
      <w:pPr>
        <w:pStyle w:val="Compact"/>
        <w:numPr>
          <w:ilvl w:val="0"/>
          <w:numId w:val="1019"/>
        </w:numPr>
      </w:pPr>
      <w:r>
        <w:t xml:space="preserve">Takeover safeguards</w:t>
      </w:r>
    </w:p>
    <w:bookmarkEnd w:id="39"/>
    <w:bookmarkStart w:id="40" w:name="global-ownership-patterns"/>
    <w:p>
      <w:pPr>
        <w:pStyle w:val="Heading3"/>
      </w:pPr>
      <w:r>
        <w:t xml:space="preserve">2.3.5 Global Ownership Patterns</w:t>
      </w:r>
    </w:p>
    <w:p>
      <w:pPr>
        <w:pStyle w:val="FirstParagraph"/>
      </w:pPr>
      <w:r>
        <w:t xml:space="preserve">According to OECD research on global ownership patterns:</w:t>
      </w:r>
    </w:p>
    <w:p>
      <w:pPr>
        <w:pStyle w:val="BodyText"/>
      </w:pPr>
      <w:r>
        <w:rPr>
          <w:b/>
          <w:bCs/>
        </w:rPr>
        <w:t xml:space="preserve">Three areas of interest and concern:</w:t>
      </w:r>
    </w:p>
    <w:p>
      <w:pPr>
        <w:numPr>
          <w:ilvl w:val="0"/>
          <w:numId w:val="1020"/>
        </w:numPr>
      </w:pPr>
      <w:r>
        <w:rPr>
          <w:b/>
          <w:bCs/>
        </w:rPr>
        <w:t xml:space="preserve">Institutional Ownership Dominance:</w:t>
      </w:r>
      <w:r>
        <w:t xml:space="preserve"> </w:t>
      </w:r>
      <w:r>
        <w:t xml:space="preserve">Institutional investors hold 41% of global market capitalization. If these large institutional investors act only passively, they may pay little attention to risks and opportunities faced by individual corporations.</w:t>
      </w:r>
    </w:p>
    <w:p>
      <w:pPr>
        <w:numPr>
          <w:ilvl w:val="0"/>
          <w:numId w:val="1020"/>
        </w:numPr>
      </w:pPr>
      <w:r>
        <w:rPr>
          <w:b/>
          <w:bCs/>
        </w:rPr>
        <w:t xml:space="preserve">Public Sector Ownership:</w:t>
      </w:r>
      <w:r>
        <w:t xml:space="preserve"> </w:t>
      </w:r>
      <w:r>
        <w:t xml:space="preserve">Government ownership of shares in publicly listed companies is large and significant in China, other emerging Asia nations, and emerging markets in general. Government only controls 14% of global stock market capitalization, but its ownership in these key regional sectors is notable through:</w:t>
      </w:r>
    </w:p>
    <w:p>
      <w:pPr>
        <w:pStyle w:val="Compact"/>
        <w:numPr>
          <w:ilvl w:val="1"/>
          <w:numId w:val="1021"/>
        </w:numPr>
      </w:pPr>
      <w:r>
        <w:t xml:space="preserve">Direct ownership</w:t>
      </w:r>
    </w:p>
    <w:p>
      <w:pPr>
        <w:pStyle w:val="Compact"/>
        <w:numPr>
          <w:ilvl w:val="1"/>
          <w:numId w:val="1021"/>
        </w:numPr>
      </w:pPr>
      <w:r>
        <w:t xml:space="preserve">Pension fund ownership and control</w:t>
      </w:r>
    </w:p>
    <w:p>
      <w:pPr>
        <w:pStyle w:val="Compact"/>
        <w:numPr>
          <w:ilvl w:val="1"/>
          <w:numId w:val="1021"/>
        </w:numPr>
      </w:pPr>
      <w:r>
        <w:t xml:space="preserve">Sovereign wealth funds</w:t>
      </w:r>
    </w:p>
    <w:p>
      <w:pPr>
        <w:numPr>
          <w:ilvl w:val="0"/>
          <w:numId w:val="1020"/>
        </w:numPr>
      </w:pPr>
      <w:r>
        <w:rPr>
          <w:b/>
          <w:bCs/>
        </w:rPr>
        <w:t xml:space="preserve">Strategic Individuals:</w:t>
      </w:r>
      <w:r>
        <w:t xml:space="preserve"> </w:t>
      </w:r>
      <w:r>
        <w:t xml:space="preserve">Private individuals with significant ownership are one of the most influential but</w:t>
      </w:r>
      <w:r>
        <w:t xml:space="preserve"> </w:t>
      </w:r>
      <w:r>
        <w:t xml:space="preserve">“hidden”</w:t>
      </w:r>
      <w:r>
        <w:t xml:space="preserve"> </w:t>
      </w:r>
      <w:r>
        <w:t xml:space="preserve">sources of control and influence. In half of the world’s publicly listed companies, the top three strategic individuals control more than 50% of the capital.</w:t>
      </w:r>
    </w:p>
    <w:p>
      <w:r>
        <w:pict>
          <v:rect style="width:0;height:1.5pt" o:hralign="center" o:hrstd="t" o:hr="t"/>
        </w:pict>
      </w:r>
    </w:p>
    <w:bookmarkEnd w:id="40"/>
    <w:bookmarkEnd w:id="41"/>
    <w:bookmarkEnd w:id="42"/>
    <w:bookmarkStart w:id="74" w:name="the-corporate-objective"/>
    <w:p>
      <w:pPr>
        <w:pStyle w:val="Heading1"/>
      </w:pPr>
      <w:r>
        <w:t xml:space="preserve">3.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22"/>
        </w:numPr>
      </w:pPr>
      <w:r>
        <w:t xml:space="preserve">Enrich customers</w:t>
      </w:r>
    </w:p>
    <w:p>
      <w:pPr>
        <w:pStyle w:val="Compact"/>
        <w:numPr>
          <w:ilvl w:val="0"/>
          <w:numId w:val="1022"/>
        </w:numPr>
      </w:pPr>
      <w:r>
        <w:t xml:space="preserve">Provide jobs</w:t>
      </w:r>
    </w:p>
    <w:p>
      <w:pPr>
        <w:pStyle w:val="Compact"/>
        <w:numPr>
          <w:ilvl w:val="0"/>
          <w:numId w:val="1022"/>
        </w:numPr>
      </w:pPr>
      <w:r>
        <w:t xml:space="preserve">Generate wealth for shareholders</w:t>
      </w:r>
    </w:p>
    <w:p>
      <w:pPr>
        <w:pStyle w:val="Compact"/>
        <w:numPr>
          <w:ilvl w:val="0"/>
          <w:numId w:val="1022"/>
        </w:numPr>
      </w:pPr>
      <w:r>
        <w:t xml:space="preserve">Create value for stakeholders</w:t>
      </w:r>
    </w:p>
    <w:p>
      <w:pPr>
        <w:pStyle w:val="Compact"/>
        <w:numPr>
          <w:ilvl w:val="0"/>
          <w:numId w:val="1022"/>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43" w:name="the-two-dominant-forms-of-capitalism"/>
    <w:p>
      <w:pPr>
        <w:pStyle w:val="Heading3"/>
      </w:pPr>
      <w:r>
        <w:t xml:space="preserve">3.0.1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23"/>
        </w:numPr>
      </w:pPr>
      <w:r>
        <w:rPr>
          <w:b/>
          <w:bCs/>
        </w:rPr>
        <w:t xml:space="preserve">Shareholder Capitalism</w:t>
      </w:r>
      <w:r>
        <w:t xml:space="preserve"> </w:t>
      </w:r>
      <w:r>
        <w:t xml:space="preserve">(also called Shareholder Wealth Maximization or SWM)</w:t>
      </w:r>
    </w:p>
    <w:p>
      <w:pPr>
        <w:pStyle w:val="Compact"/>
        <w:numPr>
          <w:ilvl w:val="0"/>
          <w:numId w:val="1023"/>
        </w:numPr>
      </w:pPr>
      <w:r>
        <w:rPr>
          <w:b/>
          <w:bCs/>
        </w:rPr>
        <w:t xml:space="preserve">Stakeholder Capitalism</w:t>
      </w:r>
      <w:r>
        <w:t xml:space="preserve"> </w:t>
      </w:r>
      <w:r>
        <w:t xml:space="preserve">(also called the Stakeholder Capitalism Model or SCM)</w:t>
      </w:r>
    </w:p>
    <w:bookmarkEnd w:id="43"/>
    <w:bookmarkStart w:id="44" w:name="understanding-stakeholders"/>
    <w:p>
      <w:pPr>
        <w:pStyle w:val="Heading3"/>
      </w:pPr>
      <w:r>
        <w:t xml:space="preserve">3.0.2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24"/>
        </w:numPr>
      </w:pPr>
      <w:r>
        <w:rPr>
          <w:i/>
          <w:iCs/>
        </w:rPr>
        <w:t xml:space="preserve">Business stakeholders:</w:t>
      </w:r>
      <w:r>
        <w:t xml:space="preserve"> </w:t>
      </w:r>
      <w:r>
        <w:t xml:space="preserve">Suppliers and customers</w:t>
      </w:r>
    </w:p>
    <w:p>
      <w:pPr>
        <w:pStyle w:val="Compact"/>
        <w:numPr>
          <w:ilvl w:val="0"/>
          <w:numId w:val="1024"/>
        </w:numPr>
      </w:pPr>
      <w:r>
        <w:rPr>
          <w:i/>
          <w:iCs/>
        </w:rPr>
        <w:t xml:space="preserve">Internal stakeholders:</w:t>
      </w:r>
      <w:r>
        <w:t xml:space="preserve"> </w:t>
      </w:r>
      <w:r>
        <w:t xml:space="preserve">Employees and management</w:t>
      </w:r>
    </w:p>
    <w:p>
      <w:pPr>
        <w:pStyle w:val="Compact"/>
        <w:numPr>
          <w:ilvl w:val="0"/>
          <w:numId w:val="1024"/>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25"/>
        </w:numPr>
      </w:pPr>
      <w:r>
        <w:t xml:space="preserve">Community</w:t>
      </w:r>
    </w:p>
    <w:p>
      <w:pPr>
        <w:pStyle w:val="Compact"/>
        <w:numPr>
          <w:ilvl w:val="0"/>
          <w:numId w:val="1025"/>
        </w:numPr>
      </w:pPr>
      <w:r>
        <w:t xml:space="preserve">Government</w:t>
      </w:r>
    </w:p>
    <w:p>
      <w:pPr>
        <w:pStyle w:val="Compact"/>
        <w:numPr>
          <w:ilvl w:val="0"/>
          <w:numId w:val="1025"/>
        </w:numPr>
      </w:pPr>
      <w:r>
        <w:t xml:space="preserve">Civil society</w:t>
      </w:r>
    </w:p>
    <w:p>
      <w:pPr>
        <w:pStyle w:val="Compact"/>
        <w:numPr>
          <w:ilvl w:val="0"/>
          <w:numId w:val="1025"/>
        </w:numPr>
      </w:pPr>
      <w:r>
        <w:t xml:space="preserve">Environment</w:t>
      </w:r>
    </w:p>
    <w:bookmarkEnd w:id="44"/>
    <w:bookmarkStart w:id="45" w:name="historical-oversimplification"/>
    <w:p>
      <w:pPr>
        <w:pStyle w:val="Heading3"/>
      </w:pPr>
      <w:r>
        <w:t xml:space="preserve">3.0.3 Historical Oversimplification</w:t>
      </w:r>
    </w:p>
    <w:p>
      <w:pPr>
        <w:pStyle w:val="FirstParagraph"/>
      </w:pPr>
      <w:r>
        <w:t xml:space="preserve">Historically, an overly simplistic description of the world was:</w:t>
      </w:r>
    </w:p>
    <w:p>
      <w:pPr>
        <w:pStyle w:val="Compact"/>
        <w:numPr>
          <w:ilvl w:val="0"/>
          <w:numId w:val="1026"/>
        </w:numPr>
      </w:pPr>
      <w:r>
        <w:t xml:space="preserve">Anglo-American markets followed shareholder capitalism</w:t>
      </w:r>
    </w:p>
    <w:p>
      <w:pPr>
        <w:pStyle w:val="Compact"/>
        <w:numPr>
          <w:ilvl w:val="0"/>
          <w:numId w:val="1026"/>
        </w:numPr>
      </w:pPr>
      <w:r>
        <w:t xml:space="preserve">The rest of the world pursued some form of stakeholder capitalism</w:t>
      </w:r>
    </w:p>
    <w:p>
      <w:pPr>
        <w:pStyle w:val="FirstParagraph"/>
      </w:pPr>
      <w:r>
        <w:t xml:space="preserve">But as with so many aspects of life and business, it is a bit more complicated than that today!</w:t>
      </w:r>
    </w:p>
    <w:bookmarkEnd w:id="45"/>
    <w:bookmarkStart w:id="51" w:name="shareholder-capitalism"/>
    <w:p>
      <w:pPr>
        <w:pStyle w:val="Heading2"/>
      </w:pPr>
      <w:r>
        <w:t xml:space="preserve">3.1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w:t>
      </w:r>
    </w:p>
    <w:bookmarkStart w:id="46" w:name="Xa4d9e54add18c59ee6be180e10eeabbd001556f"/>
    <w:p>
      <w:pPr>
        <w:pStyle w:val="Heading3"/>
      </w:pPr>
      <w:r>
        <w:t xml:space="preserve">3.1.1 Definition of Shareholder Wealth Maximization (SWM)</w:t>
      </w:r>
    </w:p>
    <w:p>
      <w:pPr>
        <w:pStyle w:val="FirstParagraph"/>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27"/>
        </w:numPr>
      </w:pPr>
      <w:r>
        <w:t xml:space="preserve">Maximize the financial returns to shareholders, as measured by the sum of capital gains and dividends, for a given level of risk</w:t>
      </w:r>
    </w:p>
    <w:p>
      <w:pPr>
        <w:pStyle w:val="Compact"/>
        <w:numPr>
          <w:ilvl w:val="0"/>
          <w:numId w:val="1027"/>
        </w:numPr>
      </w:pPr>
      <w:r>
        <w:t xml:space="preserve">Alternatively, minimize the risk to shareholders for a given rate of return</w:t>
      </w:r>
    </w:p>
    <w:p>
      <w:pPr>
        <w:pStyle w:val="Compact"/>
        <w:numPr>
          <w:ilvl w:val="0"/>
          <w:numId w:val="1027"/>
        </w:numPr>
      </w:pPr>
      <w:r>
        <w:t xml:space="preserve">Do so in preference to the interests and returns to all other stakeholders of the firm</w:t>
      </w:r>
    </w:p>
    <w:bookmarkEnd w:id="46"/>
    <w:bookmarkStart w:id="47" w:name="market-efficiency"/>
    <w:p>
      <w:pPr>
        <w:pStyle w:val="Heading3"/>
      </w:pPr>
      <w:r>
        <w:t xml:space="preserve">3.1.2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28"/>
        </w:numPr>
      </w:pPr>
      <w:r>
        <w:t xml:space="preserve">The share price is always correct because it captures all the expectations of return and risk as perceived by investors</w:t>
      </w:r>
    </w:p>
    <w:p>
      <w:pPr>
        <w:pStyle w:val="Compact"/>
        <w:numPr>
          <w:ilvl w:val="0"/>
          <w:numId w:val="1028"/>
        </w:numPr>
      </w:pPr>
      <w:r>
        <w:t xml:space="preserve">It quickly incorporates new information into the share price</w:t>
      </w:r>
    </w:p>
    <w:p>
      <w:pPr>
        <w:pStyle w:val="Compact"/>
        <w:numPr>
          <w:ilvl w:val="0"/>
          <w:numId w:val="1028"/>
        </w:numPr>
      </w:pPr>
      <w:r>
        <w:t xml:space="preserve">Share prices, in turn, are deemed the best allocators of capital in the macro economy</w:t>
      </w:r>
    </w:p>
    <w:bookmarkEnd w:id="47"/>
    <w:bookmarkStart w:id="48" w:name="risk"/>
    <w:p>
      <w:pPr>
        <w:pStyle w:val="Heading3"/>
      </w:pPr>
      <w:r>
        <w:t xml:space="preserve">3.1.3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9"/>
        </w:numPr>
      </w:pPr>
      <w:r>
        <w:t xml:space="preserve">The risk of the market in general</w:t>
      </w:r>
    </w:p>
    <w:p>
      <w:pPr>
        <w:pStyle w:val="Compact"/>
        <w:numPr>
          <w:ilvl w:val="0"/>
          <w:numId w:val="1029"/>
        </w:numPr>
      </w:pPr>
      <w:r>
        <w:t xml:space="preserve">Cannot be eliminated through portfolio diversification</w:t>
      </w:r>
    </w:p>
    <w:p>
      <w:pPr>
        <w:pStyle w:val="Compact"/>
        <w:numPr>
          <w:ilvl w:val="0"/>
          <w:numId w:val="1029"/>
        </w:numPr>
      </w:pPr>
      <w:r>
        <w:t xml:space="preserve">The share price will be a function of the stock market</w:t>
      </w:r>
    </w:p>
    <w:p>
      <w:pPr>
        <w:pStyle w:val="FirstParagraph"/>
      </w:pPr>
      <w:r>
        <w:rPr>
          <w:b/>
          <w:bCs/>
        </w:rPr>
        <w:t xml:space="preserve">Unsystematic Risk:</w:t>
      </w:r>
    </w:p>
    <w:p>
      <w:pPr>
        <w:pStyle w:val="Compact"/>
        <w:numPr>
          <w:ilvl w:val="0"/>
          <w:numId w:val="1030"/>
        </w:numPr>
      </w:pPr>
      <w:r>
        <w:t xml:space="preserve">The risk of the individual security</w:t>
      </w:r>
    </w:p>
    <w:p>
      <w:pPr>
        <w:pStyle w:val="Compact"/>
        <w:numPr>
          <w:ilvl w:val="0"/>
          <w:numId w:val="1030"/>
        </w:numPr>
      </w:pPr>
      <w:r>
        <w:t xml:space="preserve">The operational risk associated with the business line of the individual firm</w:t>
      </w:r>
    </w:p>
    <w:p>
      <w:pPr>
        <w:pStyle w:val="Compact"/>
        <w:numPr>
          <w:ilvl w:val="0"/>
          <w:numId w:val="1030"/>
        </w:numPr>
      </w:pPr>
      <w:r>
        <w:t xml:space="preserve">Can be eliminated through portfolio diversification by investors</w:t>
      </w:r>
    </w:p>
    <w:p>
      <w:pPr>
        <w:pStyle w:val="Compact"/>
        <w:numPr>
          <w:ilvl w:val="0"/>
          <w:numId w:val="1030"/>
        </w:numPr>
      </w:pPr>
      <w:r>
        <w:t xml:space="preserve">Should not be a prime concern for management unless it increases the possibility of bankruptcy</w:t>
      </w:r>
    </w:p>
    <w:bookmarkEnd w:id="48"/>
    <w:bookmarkStart w:id="49" w:name="agency-theory"/>
    <w:p>
      <w:pPr>
        <w:pStyle w:val="Heading3"/>
      </w:pPr>
      <w:r>
        <w:t xml:space="preserve">3.1.4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31"/>
        </w:numPr>
      </w:pPr>
      <w:r>
        <w:t xml:space="preserve">Liberal use of stock options should encourage management to think like shareholders</w:t>
      </w:r>
    </w:p>
    <w:p>
      <w:pPr>
        <w:pStyle w:val="Compact"/>
        <w:numPr>
          <w:ilvl w:val="0"/>
          <w:numId w:val="1031"/>
        </w:numPr>
      </w:pPr>
      <w:r>
        <w:t xml:space="preserve">If management deviates from SWM objectives, it is the responsibility of the board to replace management</w:t>
      </w:r>
    </w:p>
    <w:p>
      <w:pPr>
        <w:pStyle w:val="Compact"/>
        <w:numPr>
          <w:ilvl w:val="0"/>
          <w:numId w:val="1031"/>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9"/>
    <w:bookmarkStart w:id="50" w:name="X4af23be4038f6b2c3984e9bf8fa09a57b0b33af"/>
    <w:p>
      <w:pPr>
        <w:pStyle w:val="Heading3"/>
      </w:pPr>
      <w:r>
        <w:t xml:space="preserve">3.1.5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32"/>
        </w:numPr>
      </w:pPr>
      <w:r>
        <w:t xml:space="preserve">Instead of seeking long-term value maximization, several large U.S. corporations sought short-term value maximization</w:t>
      </w:r>
    </w:p>
    <w:p>
      <w:pPr>
        <w:pStyle w:val="Compact"/>
        <w:numPr>
          <w:ilvl w:val="0"/>
          <w:numId w:val="1032"/>
        </w:numPr>
      </w:pPr>
      <w:r>
        <w:t xml:space="preserve">This was partly motivated by the overly generous use of stock options to motivate top management</w:t>
      </w:r>
    </w:p>
    <w:p>
      <w:pPr>
        <w:pStyle w:val="Compact"/>
        <w:numPr>
          <w:ilvl w:val="0"/>
          <w:numId w:val="1032"/>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01"/>
        <w:gridCol w:w="5418"/>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50"/>
    <w:bookmarkEnd w:id="51"/>
    <w:bookmarkStart w:id="60" w:name="stakeholder-capitalism"/>
    <w:p>
      <w:pPr>
        <w:pStyle w:val="Heading2"/>
      </w:pPr>
      <w:r>
        <w:t xml:space="preserve">3.2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bookmarkStart w:id="52" w:name="Xa76435f1004f93b85fc1eaa67cc4f59b3018256"/>
    <w:p>
      <w:pPr>
        <w:pStyle w:val="Heading3"/>
      </w:pPr>
      <w:r>
        <w:t xml:space="preserve">3.2.1 Characteristics of Stakeholder Capitalism</w:t>
      </w:r>
    </w:p>
    <w:p>
      <w:pPr>
        <w:pStyle w:val="FirstParagraph"/>
      </w:pPr>
      <w:r>
        <w:t xml:space="preserve">In the non-Anglo-American markets, controlling shareholders also strive to maximize long-term returns to equity. However, they are more constrained by other powerful stakeholders:</w:t>
      </w:r>
    </w:p>
    <w:p>
      <w:pPr>
        <w:pStyle w:val="Compact"/>
        <w:numPr>
          <w:ilvl w:val="0"/>
          <w:numId w:val="1033"/>
        </w:numPr>
      </w:pPr>
      <w:r>
        <w:t xml:space="preserve">Labor unions are more powerful</w:t>
      </w:r>
    </w:p>
    <w:p>
      <w:pPr>
        <w:pStyle w:val="Compact"/>
        <w:numPr>
          <w:ilvl w:val="0"/>
          <w:numId w:val="1033"/>
        </w:numPr>
      </w:pPr>
      <w:r>
        <w:t xml:space="preserve">Governments interfere more in the marketplace to protect important stakeholder groups (local communities, the environment, employment)</w:t>
      </w:r>
    </w:p>
    <w:p>
      <w:pPr>
        <w:pStyle w:val="Compact"/>
        <w:numPr>
          <w:ilvl w:val="0"/>
          <w:numId w:val="1033"/>
        </w:numPr>
      </w:pPr>
      <w:r>
        <w:t xml:space="preserve">Banks and other financial institutions are more important creditors than securities markets</w:t>
      </w:r>
    </w:p>
    <w:bookmarkEnd w:id="52"/>
    <w:bookmarkStart w:id="53" w:name="market-efficiency-1"/>
    <w:p>
      <w:pPr>
        <w:pStyle w:val="Heading3"/>
      </w:pPr>
      <w:r>
        <w:t xml:space="preserve">3.2.2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34"/>
        </w:numPr>
      </w:pPr>
      <w:r>
        <w:t xml:space="preserve">It does not really matter because the firm’s financial goals are not exclusively shareholder-oriented since they are constrained by other stakeholders</w:t>
      </w:r>
    </w:p>
    <w:p>
      <w:pPr>
        <w:pStyle w:val="Compact"/>
        <w:numPr>
          <w:ilvl w:val="0"/>
          <w:numId w:val="1034"/>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53"/>
    <w:bookmarkStart w:id="54" w:name="risk-1"/>
    <w:p>
      <w:pPr>
        <w:pStyle w:val="Heading3"/>
      </w:pPr>
      <w:r>
        <w:t xml:space="preserve">3.2.3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35"/>
        </w:numPr>
      </w:pPr>
      <w:r>
        <w:t xml:space="preserve">It is a specific corporate objective to generate growing earnings and dividends over the long run with as much certainty as possible</w:t>
      </w:r>
    </w:p>
    <w:p>
      <w:pPr>
        <w:pStyle w:val="Compact"/>
        <w:numPr>
          <w:ilvl w:val="0"/>
          <w:numId w:val="1035"/>
        </w:numPr>
      </w:pPr>
      <w:r>
        <w:t xml:space="preserve">Risk measurement is based more on product market variability than on short-term variation in earnings and share price</w:t>
      </w:r>
    </w:p>
    <w:bookmarkEnd w:id="54"/>
    <w:bookmarkStart w:id="55" w:name="single-versus-multiple-goals"/>
    <w:p>
      <w:pPr>
        <w:pStyle w:val="Heading3"/>
      </w:pPr>
      <w:r>
        <w:t xml:space="preserve">3.2.4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36"/>
        </w:numPr>
      </w:pPr>
      <w:r>
        <w:t xml:space="preserve">Trying to meet the desires of multiple stakeholders leaves management without a clear signal about the trade-offs</w:t>
      </w:r>
    </w:p>
    <w:p>
      <w:pPr>
        <w:pStyle w:val="Compact"/>
        <w:numPr>
          <w:ilvl w:val="0"/>
          <w:numId w:val="1036"/>
        </w:numPr>
      </w:pPr>
      <w:r>
        <w:t xml:space="preserve">Management tries to influence the trade-offs through written and oral disclosures and complex compensation systems</w:t>
      </w:r>
    </w:p>
    <w:bookmarkEnd w:id="55"/>
    <w:bookmarkStart w:id="56" w:name="the-scorecard"/>
    <w:p>
      <w:pPr>
        <w:pStyle w:val="Heading3"/>
      </w:pPr>
      <w:r>
        <w:t xml:space="preserve">3.2.5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56"/>
    <w:bookmarkStart w:id="57" w:name="events-renewing-the-debate"/>
    <w:p>
      <w:pPr>
        <w:pStyle w:val="Heading3"/>
      </w:pPr>
      <w:r>
        <w:t xml:space="preserve">3.2.6 Events Renewing the Debate</w:t>
      </w:r>
    </w:p>
    <w:tbl>
      <w:tblPr>
        <w:tblStyle w:val="Table"/>
        <w:tblW w:type="pct" w:w="5000"/>
        <w:tblLayout w:type="fixed"/>
        <w:tblLook w:firstRow="1" w:lastRow="0" w:firstColumn="0" w:lastColumn="0" w:noHBand="0" w:noVBand="0" w:val="0020"/>
      </w:tblPr>
      <w:tblGrid>
        <w:gridCol w:w="2262"/>
        <w:gridCol w:w="1980"/>
        <w:gridCol w:w="3677"/>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57"/>
    <w:bookmarkStart w:id="58" w:name="environmental-social-and-governance-esg"/>
    <w:p>
      <w:pPr>
        <w:pStyle w:val="Heading3"/>
      </w:pPr>
      <w:r>
        <w:t xml:space="preserve">3.2.7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37"/>
        </w:numPr>
      </w:pPr>
      <w:r>
        <w:t xml:space="preserve">The corporation is not a real human and has no specific conscience or social value judgments</w:t>
      </w:r>
    </w:p>
    <w:p>
      <w:pPr>
        <w:pStyle w:val="Compact"/>
        <w:numPr>
          <w:ilvl w:val="0"/>
          <w:numId w:val="1037"/>
        </w:numPr>
      </w:pPr>
      <w:r>
        <w:t xml:space="preserve">Only the leaders of the publicly traded firm are humans, and it is not appropriate for those leaders to impose their own values on the corporation</w:t>
      </w:r>
    </w:p>
    <w:p>
      <w:pPr>
        <w:pStyle w:val="Compact"/>
        <w:numPr>
          <w:ilvl w:val="0"/>
          <w:numId w:val="1037"/>
        </w:numPr>
      </w:pPr>
      <w:r>
        <w:t xml:space="preserve">In the process of maximizing value for the shareholder, the entire pie is enlarged for all stakeholders</w:t>
      </w:r>
    </w:p>
    <w:p>
      <w:pPr>
        <w:pStyle w:val="FirstParagraph"/>
      </w:pPr>
      <w:r>
        <w:t xml:space="preserve">As Milton Friedman,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38"/>
        </w:numPr>
      </w:pPr>
      <w:r>
        <w:t xml:space="preserve">The corporation is a legal person and is obligated to benefit all of its stakeholders, including society, and not just shareholders</w:t>
      </w:r>
    </w:p>
    <w:bookmarkEnd w:id="58"/>
    <w:bookmarkStart w:id="59" w:name="X548c4a903df4c65012a8a9a113ca09417f8aa12"/>
    <w:p>
      <w:pPr>
        <w:pStyle w:val="Heading3"/>
      </w:pPr>
      <w:r>
        <w:t xml:space="preserve">3.2.8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9"/>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9"/>
        </w:numPr>
      </w:pPr>
      <w:r>
        <w:rPr>
          <w:b/>
          <w:bCs/>
        </w:rPr>
        <w:t xml:space="preserve">Planet:</w:t>
      </w:r>
      <w:r>
        <w:t xml:space="preserve"> </w:t>
      </w:r>
      <w:r>
        <w:t xml:space="preserve">Climate change, nature loss, freshwater availability</w:t>
      </w:r>
    </w:p>
    <w:p>
      <w:pPr>
        <w:pStyle w:val="Compact"/>
        <w:numPr>
          <w:ilvl w:val="0"/>
          <w:numId w:val="1039"/>
        </w:numPr>
      </w:pPr>
      <w:r>
        <w:rPr>
          <w:b/>
          <w:bCs/>
        </w:rPr>
        <w:t xml:space="preserve">People:</w:t>
      </w:r>
      <w:r>
        <w:t xml:space="preserve"> </w:t>
      </w:r>
      <w:r>
        <w:t xml:space="preserve">Dignity and equality, health and well-being, skills for the future</w:t>
      </w:r>
    </w:p>
    <w:p>
      <w:pPr>
        <w:pStyle w:val="Compact"/>
        <w:numPr>
          <w:ilvl w:val="0"/>
          <w:numId w:val="1039"/>
        </w:numPr>
      </w:pPr>
      <w:r>
        <w:rPr>
          <w:b/>
          <w:bCs/>
        </w:rPr>
        <w:t xml:space="preserve">Prosperity:</w:t>
      </w:r>
      <w:r>
        <w:t xml:space="preserve"> </w:t>
      </w:r>
      <w:r>
        <w:t xml:space="preserve">Employment and wealth generation, innovation of better products and services, community and social vitality</w:t>
      </w:r>
    </w:p>
    <w:bookmarkEnd w:id="59"/>
    <w:bookmarkEnd w:id="60"/>
    <w:bookmarkStart w:id="69" w:name="operational-goals"/>
    <w:p>
      <w:pPr>
        <w:pStyle w:val="Heading2"/>
      </w:pPr>
      <w:r>
        <w:t xml:space="preserve">3.3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61" w:name="Xf520252cae06df522bd99dd04ecd11c97bb795d"/>
    <w:p>
      <w:pPr>
        <w:pStyle w:val="Heading3"/>
      </w:pPr>
      <w:r>
        <w:t xml:space="preserve">3.3.1 Returns to Investors in Publicly Traded Firms</w:t>
      </w:r>
    </w:p>
    <w:p>
      <w:pPr>
        <w:pStyle w:val="FirstParagraph"/>
      </w:pPr>
      <w:r>
        <w:t xml:space="preserve">The return to a shareholder in a publicly traded firm combines:</w:t>
      </w:r>
    </w:p>
    <w:p>
      <w:pPr>
        <w:pStyle w:val="Compact"/>
        <w:numPr>
          <w:ilvl w:val="0"/>
          <w:numId w:val="1040"/>
        </w:numPr>
      </w:pPr>
      <w:r>
        <w:rPr>
          <w:b/>
          <w:bCs/>
        </w:rPr>
        <w:t xml:space="preserve">Current income</w:t>
      </w:r>
      <w:r>
        <w:t xml:space="preserve"> </w:t>
      </w:r>
      <w:r>
        <w:t xml:space="preserve">in the form of dividends</w:t>
      </w:r>
    </w:p>
    <w:p>
      <w:pPr>
        <w:pStyle w:val="Compact"/>
        <w:numPr>
          <w:ilvl w:val="0"/>
          <w:numId w:val="1040"/>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41"/>
        </w:numPr>
      </w:pPr>
      <m:oMath>
        <m:sSub>
          <m:e>
            <m:r>
              <m:t>P</m:t>
            </m:r>
          </m:e>
          <m:sub>
            <m:r>
              <m:t>1</m:t>
            </m:r>
          </m:sub>
        </m:sSub>
      </m:oMath>
      <w:r>
        <w:t xml:space="preserve"> </w:t>
      </w:r>
      <w:r>
        <w:t xml:space="preserve">= Beginning price (initial investment by shareholder)</w:t>
      </w:r>
    </w:p>
    <w:p>
      <w:pPr>
        <w:pStyle w:val="Compact"/>
        <w:numPr>
          <w:ilvl w:val="0"/>
          <w:numId w:val="1041"/>
        </w:numPr>
      </w:pPr>
      <m:oMath>
        <m:sSub>
          <m:e>
            <m:r>
              <m:t>P</m:t>
            </m:r>
          </m:e>
          <m:sub>
            <m:r>
              <m:t>2</m:t>
            </m:r>
          </m:sub>
        </m:sSub>
      </m:oMath>
      <w:r>
        <w:t xml:space="preserve"> </w:t>
      </w:r>
      <w:r>
        <w:t xml:space="preserve">= Price of share at end of period</w:t>
      </w:r>
    </w:p>
    <w:p>
      <w:pPr>
        <w:pStyle w:val="Compact"/>
        <w:numPr>
          <w:ilvl w:val="0"/>
          <w:numId w:val="1041"/>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bookmarkEnd w:id="61"/>
    <w:bookmarkStart w:id="62" w:name="managements-influence-on-returns"/>
    <w:p>
      <w:pPr>
        <w:pStyle w:val="Heading3"/>
      </w:pPr>
      <w:r>
        <w:t xml:space="preserve">3.3.2 Management’s Influence on Returns</w:t>
      </w:r>
    </w:p>
    <w:p>
      <w:pPr>
        <w:pStyle w:val="Compact"/>
        <w:numPr>
          <w:ilvl w:val="0"/>
          <w:numId w:val="1042"/>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42"/>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62"/>
    <w:bookmarkStart w:id="63" w:name="the-case-of-apple"/>
    <w:p>
      <w:pPr>
        <w:pStyle w:val="Heading3"/>
      </w:pPr>
      <w:r>
        <w:t xml:space="preserve">3.3.3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63"/>
    <w:bookmarkStart w:id="64" w:name="X7636a809552138e5e8bf525db4df589b0b0b393"/>
    <w:p>
      <w:pPr>
        <w:pStyle w:val="Heading3"/>
      </w:pPr>
      <w:r>
        <w:t xml:space="preserve">3.3.4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43"/>
        </w:numPr>
      </w:pPr>
      <w:r>
        <w:t xml:space="preserve">The privately held firm does not have a share price</w:t>
      </w:r>
    </w:p>
    <w:p>
      <w:pPr>
        <w:pStyle w:val="Compact"/>
        <w:numPr>
          <w:ilvl w:val="0"/>
          <w:numId w:val="1043"/>
        </w:numPr>
      </w:pPr>
      <w:r>
        <w:t xml:space="preserve">It does have a value, but this is not a definitive market-determined value</w:t>
      </w:r>
    </w:p>
    <w:p>
      <w:pPr>
        <w:pStyle w:val="Compact"/>
        <w:numPr>
          <w:ilvl w:val="0"/>
          <w:numId w:val="1043"/>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44"/>
        </w:numPr>
      </w:pPr>
      <w:r>
        <w:t xml:space="preserve">The family may place great emphasis on the ability to sustain earnings over time while maintaining a slower rate of growth</w:t>
      </w:r>
    </w:p>
    <w:p>
      <w:pPr>
        <w:pStyle w:val="Compact"/>
        <w:numPr>
          <w:ilvl w:val="0"/>
          <w:numId w:val="1044"/>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44"/>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End w:id="64"/>
    <w:bookmarkStart w:id="65" w:name="X4cf34a572f115b20d0025b8e057da6b8c5eb26b"/>
    <w:p>
      <w:pPr>
        <w:pStyle w:val="Heading3"/>
      </w:pPr>
      <w:r>
        <w:t xml:space="preserve">3.3.5 Public versus Private Ownership Comparison</w:t>
      </w:r>
    </w:p>
    <w:tbl>
      <w:tblPr>
        <w:tblStyle w:val="Table"/>
        <w:tblW w:type="pct" w:w="5000"/>
        <w:tblLayout w:type="fixed"/>
        <w:tblLook w:firstRow="1" w:lastRow="0" w:firstColumn="0" w:lastColumn="0" w:noHBand="0" w:noVBand="0" w:val="0020"/>
      </w:tblPr>
      <w:tblGrid>
        <w:gridCol w:w="2043"/>
        <w:gridCol w:w="1660"/>
        <w:gridCol w:w="2171"/>
        <w:gridCol w:w="2043"/>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65"/>
    <w:bookmarkStart w:id="66" w:name="operational-goals-for-mnes"/>
    <w:p>
      <w:pPr>
        <w:pStyle w:val="Heading3"/>
      </w:pPr>
      <w:r>
        <w:t xml:space="preserve">3.3.6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45"/>
        </w:numPr>
      </w:pPr>
      <w:r>
        <w:rPr>
          <w:b/>
          <w:bCs/>
        </w:rPr>
        <w:t xml:space="preserve">Maximization of consolidated after-tax income</w:t>
      </w:r>
    </w:p>
    <w:p>
      <w:pPr>
        <w:pStyle w:val="Compact"/>
        <w:numPr>
          <w:ilvl w:val="0"/>
          <w:numId w:val="1045"/>
        </w:numPr>
      </w:pPr>
      <w:r>
        <w:rPr>
          <w:b/>
          <w:bCs/>
        </w:rPr>
        <w:t xml:space="preserve">Minimization of the firm’s effective global tax burden</w:t>
      </w:r>
    </w:p>
    <w:p>
      <w:pPr>
        <w:pStyle w:val="Compact"/>
        <w:numPr>
          <w:ilvl w:val="0"/>
          <w:numId w:val="1045"/>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66"/>
    <w:bookmarkStart w:id="67" w:name="consolidated-profits"/>
    <w:p>
      <w:pPr>
        <w:pStyle w:val="Heading3"/>
      </w:pPr>
      <w:r>
        <w:t xml:space="preserve">3.3.7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46"/>
        </w:numPr>
      </w:pPr>
      <w:r>
        <w:t xml:space="preserve">Consolidated profits are the profits of all the individual units of the firm, all of its foreign branches and subsidiaries</w:t>
      </w:r>
    </w:p>
    <w:p>
      <w:pPr>
        <w:pStyle w:val="Compact"/>
        <w:numPr>
          <w:ilvl w:val="0"/>
          <w:numId w:val="1046"/>
        </w:numPr>
      </w:pPr>
      <w:r>
        <w:t xml:space="preserve">All foreign subsidiaries have their own set of local currency financial statements needed for incorporation and tax obligations</w:t>
      </w:r>
    </w:p>
    <w:p>
      <w:pPr>
        <w:pStyle w:val="Compact"/>
        <w:numPr>
          <w:ilvl w:val="0"/>
          <w:numId w:val="1046"/>
        </w:numPr>
      </w:pPr>
      <w:r>
        <w:t xml:space="preserve">The MNE must combine all of their financial results, originating in many different currencies, for reporting in the currency of the parent</w:t>
      </w:r>
    </w:p>
    <w:bookmarkEnd w:id="67"/>
    <w:bookmarkStart w:id="68" w:name="publicprivate-hybrids"/>
    <w:p>
      <w:pPr>
        <w:pStyle w:val="Heading3"/>
      </w:pPr>
      <w:r>
        <w:t xml:space="preserve">3.3.8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bookmarkEnd w:id="68"/>
    <w:bookmarkEnd w:id="69"/>
    <w:bookmarkStart w:id="73" w:name="activist-investors"/>
    <w:p>
      <w:pPr>
        <w:pStyle w:val="Heading2"/>
      </w:pPr>
      <w:r>
        <w:t xml:space="preserve">3.4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bookmarkStart w:id="70" w:name="what-are-activist-investors"/>
    <w:p>
      <w:pPr>
        <w:pStyle w:val="Heading3"/>
      </w:pPr>
      <w:r>
        <w:t xml:space="preserve">3.4.1 What Are Activist Investors?</w:t>
      </w:r>
    </w:p>
    <w:p>
      <w:pPr>
        <w:pStyle w:val="FirstParagraph"/>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47"/>
        </w:numPr>
      </w:pPr>
      <w:r>
        <w:t xml:space="preserve">Carl Icahn</w:t>
      </w:r>
    </w:p>
    <w:p>
      <w:pPr>
        <w:pStyle w:val="Compact"/>
        <w:numPr>
          <w:ilvl w:val="0"/>
          <w:numId w:val="1047"/>
        </w:numPr>
      </w:pPr>
      <w:r>
        <w:t xml:space="preserve">Nelson Peltz</w:t>
      </w:r>
    </w:p>
    <w:p>
      <w:pPr>
        <w:pStyle w:val="Compact"/>
        <w:numPr>
          <w:ilvl w:val="0"/>
          <w:numId w:val="1047"/>
        </w:numPr>
      </w:pPr>
      <w:r>
        <w:t xml:space="preserve">William Ackman</w:t>
      </w:r>
    </w:p>
    <w:p>
      <w:pPr>
        <w:pStyle w:val="Compact"/>
        <w:numPr>
          <w:ilvl w:val="0"/>
          <w:numId w:val="1047"/>
        </w:numPr>
      </w:pPr>
      <w:r>
        <w:t xml:space="preserve">Daniel Loeb</w:t>
      </w:r>
    </w:p>
    <w:p>
      <w:pPr>
        <w:pStyle w:val="Compact"/>
        <w:numPr>
          <w:ilvl w:val="0"/>
          <w:numId w:val="1047"/>
        </w:numPr>
      </w:pPr>
      <w:r>
        <w:t xml:space="preserve">Paul Singer</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End w:id="70"/>
    <w:bookmarkStart w:id="71" w:name="the-activists-playbook"/>
    <w:p>
      <w:pPr>
        <w:pStyle w:val="Heading3"/>
      </w:pPr>
      <w:r>
        <w:t xml:space="preserve">3.4.2 The Activist’s Playbook</w:t>
      </w:r>
    </w:p>
    <w:p>
      <w:pPr>
        <w:pStyle w:val="FirstParagraph"/>
      </w:pPr>
      <w:r>
        <w:rPr>
          <w:b/>
          <w:bCs/>
        </w:rPr>
        <w:t xml:space="preserve">Step 1: Acquire Position</w:t>
      </w:r>
    </w:p>
    <w:p>
      <w:pPr>
        <w:pStyle w:val="BodyText"/>
      </w:pPr>
      <w:r>
        <w:t xml:space="preserve">Activists accumulate anywhere between 3% and 10% of the public shares in a target firm.</w:t>
      </w:r>
    </w:p>
    <w:p>
      <w:pPr>
        <w:pStyle w:val="BodyText"/>
      </w:pPr>
      <w:r>
        <w:rPr>
          <w:b/>
          <w:bCs/>
        </w:rPr>
        <w:t xml:space="preserve">Step 2: Influence Leadership</w:t>
      </w:r>
    </w:p>
    <w:p>
      <w:pPr>
        <w:pStyle w:val="BodyText"/>
      </w:pPr>
      <w:r>
        <w:t xml:space="preserve">Activists work to influence leadership through every means possible:</w:t>
      </w:r>
    </w:p>
    <w:p>
      <w:pPr>
        <w:pStyle w:val="Compact"/>
        <w:numPr>
          <w:ilvl w:val="0"/>
          <w:numId w:val="1048"/>
        </w:numPr>
      </w:pPr>
      <w:r>
        <w:t xml:space="preserve">Phone calls</w:t>
      </w:r>
    </w:p>
    <w:p>
      <w:pPr>
        <w:pStyle w:val="Compact"/>
        <w:numPr>
          <w:ilvl w:val="0"/>
          <w:numId w:val="1048"/>
        </w:numPr>
      </w:pPr>
      <w:r>
        <w:t xml:space="preserve">Published letters and white papers</w:t>
      </w:r>
    </w:p>
    <w:p>
      <w:pPr>
        <w:pStyle w:val="Compact"/>
        <w:numPr>
          <w:ilvl w:val="0"/>
          <w:numId w:val="1048"/>
        </w:numPr>
      </w:pPr>
      <w:r>
        <w:t xml:space="preserve">Shareholder meetings</w:t>
      </w:r>
    </w:p>
    <w:p>
      <w:pPr>
        <w:pStyle w:val="Compact"/>
        <w:numPr>
          <w:ilvl w:val="0"/>
          <w:numId w:val="1048"/>
        </w:numPr>
      </w:pPr>
      <w:r>
        <w:t xml:space="preserve">Shareholder votes</w:t>
      </w:r>
    </w:p>
    <w:p>
      <w:pPr>
        <w:pStyle w:val="Compact"/>
        <w:numPr>
          <w:ilvl w:val="0"/>
          <w:numId w:val="1048"/>
        </w:numPr>
      </w:pPr>
      <w:r>
        <w:t xml:space="preserve">Board representation</w:t>
      </w:r>
    </w:p>
    <w:p>
      <w:pPr>
        <w:pStyle w:val="FirstParagraph"/>
      </w:pPr>
      <w:r>
        <w:rPr>
          <w:b/>
          <w:bCs/>
        </w:rPr>
        <w:t xml:space="preserve">Strategic Changes Advocated:</w:t>
      </w:r>
    </w:p>
    <w:p>
      <w:pPr>
        <w:pStyle w:val="Compact"/>
        <w:numPr>
          <w:ilvl w:val="0"/>
          <w:numId w:val="1049"/>
        </w:numPr>
      </w:pPr>
      <w:r>
        <w:t xml:space="preserve">Cut costs (including executive compensation)</w:t>
      </w:r>
    </w:p>
    <w:p>
      <w:pPr>
        <w:pStyle w:val="Compact"/>
        <w:numPr>
          <w:ilvl w:val="0"/>
          <w:numId w:val="1049"/>
        </w:numPr>
      </w:pPr>
      <w:r>
        <w:t xml:space="preserve">Sell off non-core businesses (</w:t>
      </w:r>
      <w:r>
        <w:t xml:space="preserve">“liquidate businesses or assets for cash”</w:t>
      </w:r>
      <w:r>
        <w:t xml:space="preserve">)</w:t>
      </w:r>
    </w:p>
    <w:p>
      <w:pPr>
        <w:pStyle w:val="Compact"/>
        <w:numPr>
          <w:ilvl w:val="0"/>
          <w:numId w:val="1049"/>
        </w:numPr>
      </w:pPr>
      <w:r>
        <w:t xml:space="preserve">Actively restructure to reduce global tax obligations</w:t>
      </w:r>
    </w:p>
    <w:p>
      <w:pPr>
        <w:pStyle w:val="Compact"/>
        <w:numPr>
          <w:ilvl w:val="0"/>
          <w:numId w:val="1049"/>
        </w:numPr>
      </w:pPr>
      <w:r>
        <w:t xml:space="preserve">Put company</w:t>
      </w:r>
      <w:r>
        <w:t xml:space="preserve"> </w:t>
      </w:r>
      <w:r>
        <w:t xml:space="preserve">“in play”</w:t>
      </w:r>
      <w:r>
        <w:t xml:space="preserve"> </w:t>
      </w:r>
      <w:r>
        <w:t xml:space="preserve">to be acquired</w:t>
      </w:r>
    </w:p>
    <w:p>
      <w:pPr>
        <w:pStyle w:val="Compact"/>
        <w:numPr>
          <w:ilvl w:val="0"/>
          <w:numId w:val="1049"/>
        </w:numPr>
      </w:pPr>
      <w:r>
        <w:t xml:space="preserve">Narrow/define business strategy</w:t>
      </w:r>
    </w:p>
    <w:p>
      <w:pPr>
        <w:pStyle w:val="FirstParagraph"/>
      </w:pPr>
      <w:r>
        <w:rPr>
          <w:b/>
          <w:bCs/>
        </w:rPr>
        <w:t xml:space="preserve">Financial Changes Advocated:</w:t>
      </w:r>
    </w:p>
    <w:p>
      <w:pPr>
        <w:pStyle w:val="Compact"/>
        <w:numPr>
          <w:ilvl w:val="0"/>
          <w:numId w:val="1050"/>
        </w:numPr>
      </w:pPr>
      <w:r>
        <w:t xml:space="preserve">Increase debt to increase cash availability for dividends</w:t>
      </w:r>
    </w:p>
    <w:p>
      <w:pPr>
        <w:pStyle w:val="Compact"/>
        <w:numPr>
          <w:ilvl w:val="0"/>
          <w:numId w:val="1050"/>
        </w:numPr>
      </w:pPr>
      <w:r>
        <w:t xml:space="preserve">Reduce new investment (both capital expenditures and acquisitions)</w:t>
      </w:r>
    </w:p>
    <w:p>
      <w:pPr>
        <w:pStyle w:val="Compact"/>
        <w:numPr>
          <w:ilvl w:val="0"/>
          <w:numId w:val="105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51"/>
        </w:numPr>
      </w:pPr>
      <w:r>
        <w:t xml:space="preserve">Reduction of debt</w:t>
      </w:r>
    </w:p>
    <w:p>
      <w:pPr>
        <w:pStyle w:val="Compact"/>
        <w:numPr>
          <w:ilvl w:val="0"/>
          <w:numId w:val="1051"/>
        </w:numPr>
      </w:pPr>
      <w:r>
        <w:t xml:space="preserve">New acquisitions</w:t>
      </w:r>
    </w:p>
    <w:bookmarkEnd w:id="71"/>
    <w:bookmarkStart w:id="72" w:name="perspectives-on-activist-investing"/>
    <w:p>
      <w:pPr>
        <w:pStyle w:val="Heading3"/>
      </w:pPr>
      <w:r>
        <w:t xml:space="preserve">3.4.3 Perspectives on Activist Investing</w:t>
      </w:r>
    </w:p>
    <w:tbl>
      <w:tblPr>
        <w:tblStyle w:val="Table"/>
        <w:tblW w:type="pct" w:w="5000"/>
        <w:tblLayout w:type="fixed"/>
        <w:tblLook w:firstRow="1" w:lastRow="0" w:firstColumn="0" w:lastColumn="0" w:noHBand="0" w:noVBand="0" w:val="0020"/>
      </w:tblPr>
      <w:tblGrid>
        <w:gridCol w:w="2897"/>
        <w:gridCol w:w="5022"/>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72"/>
    <w:bookmarkEnd w:id="73"/>
    <w:bookmarkEnd w:id="74"/>
    <w:bookmarkStart w:id="93" w:name="corporate-governance"/>
    <w:p>
      <w:pPr>
        <w:pStyle w:val="Heading1"/>
      </w:pPr>
      <w:r>
        <w:t xml:space="preserve">4.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bookmarkStart w:id="75" w:name="recent-governance-failures"/>
    <w:p>
      <w:pPr>
        <w:pStyle w:val="Heading3"/>
      </w:pPr>
      <w:r>
        <w:t xml:space="preserve">4.0.1 Recent Governance Failures</w:t>
      </w:r>
    </w:p>
    <w:p>
      <w:pPr>
        <w:pStyle w:val="FirstParagraph"/>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End w:id="75"/>
    <w:bookmarkStart w:id="78" w:name="the-structure-of-governance"/>
    <w:p>
      <w:pPr>
        <w:pStyle w:val="Heading2"/>
      </w:pPr>
      <w:r>
        <w:t xml:space="preserve">4.1 The Structure of Governance</w:t>
      </w:r>
    </w:p>
    <w:p>
      <w:pPr>
        <w:pStyle w:val="FirstParagraph"/>
      </w:pPr>
      <w:r>
        <w:t xml:space="preserve">Our first challenge is to understand what people mean when they use the expression</w:t>
      </w:r>
      <w:r>
        <w:t xml:space="preserve"> </w:t>
      </w:r>
      <w:r>
        <w:t xml:space="preserve">“corporate governance.”</w:t>
      </w:r>
    </w:p>
    <w:bookmarkStart w:id="76" w:name="internal-vs.-external-forces"/>
    <w:p>
      <w:pPr>
        <w:pStyle w:val="Heading3"/>
      </w:pPr>
      <w:r>
        <w:t xml:space="preserve">4.1.1 Internal vs. External Forces</w:t>
      </w:r>
    </w:p>
    <w:p>
      <w:pPr>
        <w:pStyle w:val="FirstParagraph"/>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52"/>
        </w:numPr>
      </w:pPr>
      <w:r>
        <w:t xml:space="preserve">Officers of the corporation (CEO, CFO, etc.)</w:t>
      </w:r>
    </w:p>
    <w:p>
      <w:pPr>
        <w:pStyle w:val="Compact"/>
        <w:numPr>
          <w:ilvl w:val="0"/>
          <w:numId w:val="1052"/>
        </w:numPr>
      </w:pPr>
      <w:r>
        <w:t xml:space="preserve">Board of directors (including the chairman of the board)</w:t>
      </w:r>
    </w:p>
    <w:p>
      <w:pPr>
        <w:pStyle w:val="Compact"/>
        <w:numPr>
          <w:ilvl w:val="0"/>
          <w:numId w:val="105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53"/>
        </w:numPr>
      </w:pPr>
      <w:r>
        <w:rPr>
          <w:b/>
          <w:bCs/>
        </w:rPr>
        <w:t xml:space="preserve">Equity markets:</w:t>
      </w:r>
      <w:r>
        <w:t xml:space="preserve"> </w:t>
      </w:r>
      <w:r>
        <w:t xml:space="preserve">Stock exchanges on which the company’s shares are traded</w:t>
      </w:r>
    </w:p>
    <w:p>
      <w:pPr>
        <w:pStyle w:val="Compact"/>
        <w:numPr>
          <w:ilvl w:val="0"/>
          <w:numId w:val="1053"/>
        </w:numPr>
      </w:pPr>
      <w:r>
        <w:rPr>
          <w:b/>
          <w:bCs/>
        </w:rPr>
        <w:t xml:space="preserve">Investment banking analysts:</w:t>
      </w:r>
      <w:r>
        <w:t xml:space="preserve"> </w:t>
      </w:r>
      <w:r>
        <w:t xml:space="preserve">Cover and critique the company shares</w:t>
      </w:r>
    </w:p>
    <w:p>
      <w:pPr>
        <w:pStyle w:val="Compact"/>
        <w:numPr>
          <w:ilvl w:val="0"/>
          <w:numId w:val="1053"/>
        </w:numPr>
      </w:pPr>
      <w:r>
        <w:rPr>
          <w:b/>
          <w:bCs/>
        </w:rPr>
        <w:t xml:space="preserve">Creditors:</w:t>
      </w:r>
      <w:r>
        <w:t xml:space="preserve"> </w:t>
      </w:r>
      <w:r>
        <w:t xml:space="preserve">Provide debt financing</w:t>
      </w:r>
    </w:p>
    <w:p>
      <w:pPr>
        <w:pStyle w:val="Compact"/>
        <w:numPr>
          <w:ilvl w:val="0"/>
          <w:numId w:val="1053"/>
        </w:numPr>
      </w:pPr>
      <w:r>
        <w:rPr>
          <w:b/>
          <w:bCs/>
        </w:rPr>
        <w:t xml:space="preserve">Credit rating agencies:</w:t>
      </w:r>
      <w:r>
        <w:t xml:space="preserve"> </w:t>
      </w:r>
      <w:r>
        <w:t xml:space="preserve">Assign credit ratings to the company’s debt or equity securities</w:t>
      </w:r>
    </w:p>
    <w:p>
      <w:pPr>
        <w:pStyle w:val="Compact"/>
        <w:numPr>
          <w:ilvl w:val="0"/>
          <w:numId w:val="105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53"/>
        </w:numPr>
      </w:pPr>
      <w:r>
        <w:rPr>
          <w:b/>
          <w:bCs/>
        </w:rPr>
        <w:t xml:space="preserve">Regulators:</w:t>
      </w:r>
      <w:r>
        <w:t xml:space="preserve"> </w:t>
      </w:r>
      <w:r>
        <w:t xml:space="preserve">Oversee the company’s actions</w:t>
      </w:r>
    </w:p>
    <w:bookmarkEnd w:id="76"/>
    <w:bookmarkStart w:id="77" w:name="roles-in-corporate-governance"/>
    <w:p>
      <w:pPr>
        <w:pStyle w:val="Heading3"/>
      </w:pPr>
      <w:r>
        <w:t xml:space="preserve">4.1.2 Roles in Corporate Governance</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77"/>
    <w:bookmarkEnd w:id="78"/>
    <w:bookmarkStart w:id="88" w:name="comparative-corporate-governance"/>
    <w:p>
      <w:pPr>
        <w:pStyle w:val="Heading2"/>
      </w:pPr>
      <w:r>
        <w:t xml:space="preserve">4.2 Comparative Corporate Governance</w:t>
      </w:r>
    </w:p>
    <w:p>
      <w:pPr>
        <w:pStyle w:val="FirstParagraph"/>
      </w:pPr>
      <w:r>
        <w:t xml:space="preserve">The origins of the need for a corporate governance process arise from:</w:t>
      </w:r>
    </w:p>
    <w:p>
      <w:pPr>
        <w:pStyle w:val="Compact"/>
        <w:numPr>
          <w:ilvl w:val="0"/>
          <w:numId w:val="1054"/>
        </w:numPr>
      </w:pPr>
      <w:r>
        <w:t xml:space="preserve">The separation of ownership from management</w:t>
      </w:r>
    </w:p>
    <w:p>
      <w:pPr>
        <w:pStyle w:val="Compact"/>
        <w:numPr>
          <w:ilvl w:val="0"/>
          <w:numId w:val="105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Start w:id="79" w:name="classification-by-evolution-of-ownership"/>
    <w:p>
      <w:pPr>
        <w:pStyle w:val="Heading3"/>
      </w:pPr>
      <w:r>
        <w:t xml:space="preserve">4.2.1 Classification by Evolution of Ownership</w:t>
      </w:r>
    </w:p>
    <w:p>
      <w:pPr>
        <w:pStyle w:val="FirstParagraph"/>
      </w:pPr>
      <w:r>
        <w:rPr>
          <w:b/>
          <w:bCs/>
        </w:rPr>
        <w:t xml:space="preserve">Market-Based Regimes (U.S., Canada, UK):</w:t>
      </w:r>
    </w:p>
    <w:p>
      <w:pPr>
        <w:pStyle w:val="Compact"/>
        <w:numPr>
          <w:ilvl w:val="0"/>
          <w:numId w:val="1055"/>
        </w:numPr>
      </w:pPr>
      <w:r>
        <w:t xml:space="preserve">Characterized by relatively efficient capital markets</w:t>
      </w:r>
    </w:p>
    <w:p>
      <w:pPr>
        <w:pStyle w:val="Compact"/>
        <w:numPr>
          <w:ilvl w:val="0"/>
          <w:numId w:val="105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56"/>
        </w:numPr>
      </w:pPr>
      <w:r>
        <w:t xml:space="preserve">Started with strong concentrations of family ownership</w:t>
      </w:r>
    </w:p>
    <w:p>
      <w:pPr>
        <w:pStyle w:val="Compact"/>
        <w:numPr>
          <w:ilvl w:val="0"/>
          <w:numId w:val="1056"/>
        </w:numPr>
      </w:pPr>
      <w:r>
        <w:t xml:space="preserve">Have continued to be largely controlled by families even after going public</w:t>
      </w:r>
    </w:p>
    <w:p>
      <w:pPr>
        <w:pStyle w:val="Compact"/>
        <w:numPr>
          <w:ilvl w:val="0"/>
          <w:numId w:val="105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57"/>
        </w:numPr>
      </w:pPr>
      <w:r>
        <w:t xml:space="preserve">Markets in which government ownership of property and industry has been a constant over time</w:t>
      </w:r>
    </w:p>
    <w:p>
      <w:pPr>
        <w:pStyle w:val="Compact"/>
        <w:numPr>
          <w:ilvl w:val="0"/>
          <w:numId w:val="1057"/>
        </w:numPr>
      </w:pPr>
      <w:r>
        <w:t xml:space="preserve">Resulting in only marginal public ownership of enterprise</w:t>
      </w:r>
    </w:p>
    <w:p>
      <w:pPr>
        <w:pStyle w:val="Compact"/>
        <w:numPr>
          <w:ilvl w:val="0"/>
          <w:numId w:val="1057"/>
        </w:numPr>
      </w:pPr>
      <w:r>
        <w:t xml:space="preserve">Subject to significant restrictions on business practices</w:t>
      </w:r>
    </w:p>
    <w:bookmarkEnd w:id="79"/>
    <w:bookmarkStart w:id="84" w:name="X6b26b0c8a7d1b9bb9d6d599e20e531be0a4e452"/>
    <w:p>
      <w:pPr>
        <w:pStyle w:val="Heading3"/>
      </w:pPr>
      <w:r>
        <w:t xml:space="preserve">4.2.2 Four Major Factors in Corporate Governance</w:t>
      </w:r>
    </w:p>
    <w:p>
      <w:pPr>
        <w:pStyle w:val="FirstParagraph"/>
      </w:pPr>
      <w:r>
        <w:t xml:space="preserve">All exchange rate regimes are a function of at least four major factors in the evolution of corporate governance principles and practices globally:</w:t>
      </w:r>
    </w:p>
    <w:bookmarkStart w:id="80" w:name="financial-market-development"/>
    <w:p>
      <w:pPr>
        <w:pStyle w:val="Heading4"/>
      </w:pPr>
      <w:r>
        <w:t xml:space="preserve">4.2.2.1 1. Financial Market Development</w:t>
      </w:r>
    </w:p>
    <w:p>
      <w:pPr>
        <w:pStyle w:val="Compact"/>
        <w:numPr>
          <w:ilvl w:val="0"/>
          <w:numId w:val="1058"/>
        </w:numPr>
      </w:pPr>
      <w:r>
        <w:t xml:space="preserve">The depth and breadth of capital markets are critical to the evolution of corporate governance practices</w:t>
      </w:r>
    </w:p>
    <w:p>
      <w:pPr>
        <w:pStyle w:val="Compact"/>
        <w:numPr>
          <w:ilvl w:val="0"/>
          <w:numId w:val="1058"/>
        </w:numPr>
      </w:pPr>
      <w:r>
        <w:t xml:space="preserve">Country markets that have had relatively low growth or have industrialized rapidly utilizing neighboring capital markets may not form large public equity market systems</w:t>
      </w:r>
    </w:p>
    <w:p>
      <w:pPr>
        <w:pStyle w:val="Compact"/>
        <w:numPr>
          <w:ilvl w:val="0"/>
          <w:numId w:val="1058"/>
        </w:numPr>
      </w:pPr>
      <w:r>
        <w:t xml:space="preserve">Without significant public trading of ownership shares, high concentrations of ownership are preserved and few disciplined processes of governance are developed</w:t>
      </w:r>
    </w:p>
    <w:bookmarkEnd w:id="80"/>
    <w:bookmarkStart w:id="81" w:name="separation-of-management-and-ownership"/>
    <w:p>
      <w:pPr>
        <w:pStyle w:val="Heading4"/>
      </w:pPr>
      <w:r>
        <w:t xml:space="preserve">4.2.2.2 2. Separation of Management and Ownership</w:t>
      </w:r>
    </w:p>
    <w:p>
      <w:pPr>
        <w:pStyle w:val="Compact"/>
        <w:numPr>
          <w:ilvl w:val="0"/>
          <w:numId w:val="1059"/>
        </w:numPr>
      </w:pPr>
      <w:r>
        <w:t xml:space="preserve">In countries and cultures where the ownership of the firm has continued to be an integral part of management, agency issues and failures have been less problematic</w:t>
      </w:r>
    </w:p>
    <w:p>
      <w:pPr>
        <w:pStyle w:val="Compact"/>
        <w:numPr>
          <w:ilvl w:val="0"/>
          <w:numId w:val="1059"/>
        </w:numPr>
      </w:pPr>
      <w:r>
        <w:t xml:space="preserve">Family-based ownership maintains the owner-operator link</w:t>
      </w:r>
    </w:p>
    <w:p>
      <w:pPr>
        <w:pStyle w:val="Compact"/>
        <w:numPr>
          <w:ilvl w:val="0"/>
          <w:numId w:val="1059"/>
        </w:numPr>
      </w:pPr>
      <w:r>
        <w:t xml:space="preserve">In countries like the United States, where ownership has become largely separated from management (and widely dispersed), aligning the goals of management and ownership is much more difficult</w:t>
      </w:r>
    </w:p>
    <w:bookmarkEnd w:id="81"/>
    <w:bookmarkStart w:id="82" w:name="disclosure-and-transparency"/>
    <w:p>
      <w:pPr>
        <w:pStyle w:val="Heading4"/>
      </w:pPr>
      <w:r>
        <w:t xml:space="preserve">4.2.2.3 3. Disclosure and Transparency</w:t>
      </w:r>
    </w:p>
    <w:p>
      <w:pPr>
        <w:pStyle w:val="Compact"/>
        <w:numPr>
          <w:ilvl w:val="0"/>
          <w:numId w:val="1060"/>
        </w:numPr>
      </w:pPr>
      <w:r>
        <w:t xml:space="preserve">The extent of disclosure regarding the operations and financial results of a company varies dramatically across countries</w:t>
      </w:r>
    </w:p>
    <w:p>
      <w:pPr>
        <w:pStyle w:val="Compact"/>
        <w:numPr>
          <w:ilvl w:val="0"/>
          <w:numId w:val="1060"/>
        </w:numPr>
      </w:pPr>
      <w:r>
        <w:t xml:space="preserve">Disclosure practices reflect a wide range of cultural and social forces</w:t>
      </w:r>
    </w:p>
    <w:p>
      <w:pPr>
        <w:pStyle w:val="Compact"/>
        <w:numPr>
          <w:ilvl w:val="0"/>
          <w:numId w:val="1060"/>
        </w:numPr>
      </w:pPr>
      <w:r>
        <w:rPr>
          <w:b/>
          <w:bCs/>
        </w:rPr>
        <w:t xml:space="preserve">Transparency</w:t>
      </w:r>
      <w:r>
        <w:t xml:space="preserve">, a parallel concept to disclosure, reflects the visibility of decision-making processes within the business organization</w:t>
      </w:r>
    </w:p>
    <w:bookmarkEnd w:id="82"/>
    <w:bookmarkStart w:id="83" w:name="X933d33903e75c620d985b0cb7073021a9688fbb"/>
    <w:p>
      <w:pPr>
        <w:pStyle w:val="Heading4"/>
      </w:pPr>
      <w:r>
        <w:t xml:space="preserve">4.2.2.4 4. Historical Development of the Legal System</w:t>
      </w:r>
    </w:p>
    <w:p>
      <w:pPr>
        <w:pStyle w:val="FirstParagraph"/>
      </w:pPr>
      <w:r>
        <w:rPr>
          <w:b/>
          <w:bCs/>
        </w:rPr>
        <w:t xml:space="preserve">English Common Law:</w:t>
      </w:r>
    </w:p>
    <w:p>
      <w:pPr>
        <w:pStyle w:val="Compact"/>
        <w:numPr>
          <w:ilvl w:val="0"/>
          <w:numId w:val="1061"/>
        </w:numPr>
      </w:pPr>
      <w:r>
        <w:t xml:space="preserve">Investor protection is typically better in countries where English common law is the basis of the legal system</w:t>
      </w:r>
    </w:p>
    <w:p>
      <w:pPr>
        <w:pStyle w:val="Compact"/>
        <w:numPr>
          <w:ilvl w:val="0"/>
          <w:numId w:val="106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62"/>
        </w:numPr>
      </w:pPr>
      <w:r>
        <w:t xml:space="preserve">Typical in France and Germany</w:t>
      </w:r>
    </w:p>
    <w:p>
      <w:pPr>
        <w:pStyle w:val="Compact"/>
        <w:numPr>
          <w:ilvl w:val="0"/>
          <w:numId w:val="106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83"/>
    <w:bookmarkEnd w:id="84"/>
    <w:bookmarkStart w:id="85" w:name="insider-vs.-outsider-regimes"/>
    <w:p>
      <w:pPr>
        <w:pStyle w:val="Heading3"/>
      </w:pPr>
      <w:r>
        <w:t xml:space="preserve">4.2.3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161"/>
        <w:gridCol w:w="3590"/>
        <w:gridCol w:w="3168"/>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85"/>
    <w:bookmarkStart w:id="86" w:name="notable-governance-failures"/>
    <w:p>
      <w:pPr>
        <w:pStyle w:val="Heading3"/>
      </w:pPr>
      <w:r>
        <w:t xml:space="preserve">4.2.4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63"/>
        </w:numPr>
      </w:pPr>
      <w:r>
        <w:t xml:space="preserve">WorldCom</w:t>
      </w:r>
    </w:p>
    <w:p>
      <w:pPr>
        <w:pStyle w:val="Compact"/>
        <w:numPr>
          <w:ilvl w:val="0"/>
          <w:numId w:val="1063"/>
        </w:numPr>
      </w:pPr>
      <w:r>
        <w:t xml:space="preserve">Parmalat</w:t>
      </w:r>
    </w:p>
    <w:p>
      <w:pPr>
        <w:pStyle w:val="Compact"/>
        <w:numPr>
          <w:ilvl w:val="0"/>
          <w:numId w:val="1063"/>
        </w:numPr>
      </w:pPr>
      <w:r>
        <w:t xml:space="preserve">Tyco</w:t>
      </w:r>
    </w:p>
    <w:p>
      <w:pPr>
        <w:pStyle w:val="Compact"/>
        <w:numPr>
          <w:ilvl w:val="0"/>
          <w:numId w:val="1063"/>
        </w:numPr>
      </w:pPr>
      <w:r>
        <w:t xml:space="preserve">Adelphia</w:t>
      </w:r>
    </w:p>
    <w:p>
      <w:pPr>
        <w:pStyle w:val="Compact"/>
        <w:numPr>
          <w:ilvl w:val="0"/>
          <w:numId w:val="1063"/>
        </w:numPr>
      </w:pPr>
      <w:r>
        <w:t xml:space="preserve">HealthSouth</w:t>
      </w:r>
    </w:p>
    <w:p>
      <w:pPr>
        <w:pStyle w:val="FirstParagraph"/>
      </w:pPr>
      <w:r>
        <w:t xml:space="preserve">In each case:</w:t>
      </w:r>
    </w:p>
    <w:p>
      <w:pPr>
        <w:pStyle w:val="Compact"/>
        <w:numPr>
          <w:ilvl w:val="0"/>
          <w:numId w:val="1064"/>
        </w:numPr>
      </w:pPr>
      <w:r>
        <w:t xml:space="preserve">Prestigious auditing firms missed the violations or minimized them</w:t>
      </w:r>
    </w:p>
    <w:p>
      <w:pPr>
        <w:pStyle w:val="Compact"/>
        <w:numPr>
          <w:ilvl w:val="0"/>
          <w:numId w:val="1064"/>
        </w:numPr>
      </w:pPr>
      <w:r>
        <w:t xml:space="preserve">Security analysts and banks urged investors to buy shares and debt issues of firms they knew to be highly risky</w:t>
      </w:r>
    </w:p>
    <w:p>
      <w:pPr>
        <w:pStyle w:val="Compact"/>
        <w:numPr>
          <w:ilvl w:val="0"/>
          <w:numId w:val="1064"/>
        </w:numPr>
      </w:pPr>
      <w:r>
        <w:t xml:space="preserve">Most top executives responsible for mismanagement often walked away with huge gains on shares sold before the downfall and overly generous severance packages</w:t>
      </w:r>
    </w:p>
    <w:bookmarkEnd w:id="86"/>
    <w:bookmarkStart w:id="87" w:name="the-volkswagen-case"/>
    <w:p>
      <w:pPr>
        <w:pStyle w:val="Heading3"/>
      </w:pPr>
      <w:r>
        <w:t xml:space="preserve">4.2.5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65"/>
        </w:numPr>
      </w:pPr>
      <w:r>
        <w:t xml:space="preserve">Dual-class ownership structure of common and preferred shares</w:t>
      </w:r>
    </w:p>
    <w:p>
      <w:pPr>
        <w:pStyle w:val="Compact"/>
        <w:numPr>
          <w:ilvl w:val="0"/>
          <w:numId w:val="1065"/>
        </w:numPr>
      </w:pPr>
      <w:r>
        <w:t xml:space="preserve">Porsche and Piëch families held 31.5% of equity via common shares (50.7% of votes due to dual-class structure)</w:t>
      </w:r>
    </w:p>
    <w:p>
      <w:pPr>
        <w:pStyle w:val="Compact"/>
        <w:numPr>
          <w:ilvl w:val="0"/>
          <w:numId w:val="1065"/>
        </w:numPr>
      </w:pPr>
      <w:r>
        <w:t xml:space="preserve">Two-tiered board structure: supervisory board and management board</w:t>
      </w:r>
    </w:p>
    <w:p>
      <w:pPr>
        <w:pStyle w:val="Compact"/>
        <w:numPr>
          <w:ilvl w:val="0"/>
          <w:numId w:val="1065"/>
        </w:numPr>
      </w:pPr>
      <w:r>
        <w:t xml:space="preserve">Under German law (Law of Codetermination), any firm employing more than 2,000 workers had to have representatives of both employees and shareholders</w:t>
      </w:r>
    </w:p>
    <w:p>
      <w:pPr>
        <w:pStyle w:val="Compact"/>
        <w:numPr>
          <w:ilvl w:val="0"/>
          <w:numId w:val="106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66"/>
        </w:numPr>
      </w:pPr>
      <w:r>
        <w:t xml:space="preserve">Workers wanted higher wages and job security, not necessarily profitability</w:t>
      </w:r>
    </w:p>
    <w:p>
      <w:pPr>
        <w:pStyle w:val="Compact"/>
        <w:numPr>
          <w:ilvl w:val="0"/>
          <w:numId w:val="1066"/>
        </w:numPr>
      </w:pPr>
      <w:r>
        <w:t xml:space="preserve">Government interests were inherently political and often focused on employment</w:t>
      </w:r>
    </w:p>
    <w:p>
      <w:pPr>
        <w:pStyle w:val="Compact"/>
        <w:numPr>
          <w:ilvl w:val="0"/>
          <w:numId w:val="1066"/>
        </w:numPr>
      </w:pPr>
      <w:r>
        <w:t xml:space="preserve">Family ownership pursued market dominance over profitability</w:t>
      </w:r>
    </w:p>
    <w:bookmarkEnd w:id="87"/>
    <w:bookmarkEnd w:id="88"/>
    <w:bookmarkStart w:id="92" w:name="good-governance-and-corporate-reputation"/>
    <w:p>
      <w:pPr>
        <w:pStyle w:val="Heading2"/>
      </w:pPr>
      <w:r>
        <w:t xml:space="preserve">4.3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Start w:id="89" w:name="signaling-good-governance"/>
    <w:p>
      <w:pPr>
        <w:pStyle w:val="Heading3"/>
      </w:pPr>
      <w:r>
        <w:t xml:space="preserve">4.3.1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bookmarkEnd w:id="89"/>
    <w:bookmarkStart w:id="90" w:name="oecd-good-governance-principles"/>
    <w:p>
      <w:pPr>
        <w:pStyle w:val="Heading3"/>
      </w:pPr>
      <w:r>
        <w:t xml:space="preserve">4.3.2 OECD Good Governance Principles</w:t>
      </w:r>
    </w:p>
    <w:p>
      <w:pPr>
        <w:pStyle w:val="FirstParagraph"/>
      </w:pPr>
      <w:r>
        <w:t xml:space="preserve">A consensus on good governance practices has emerged, led by the OECD:</w:t>
      </w:r>
    </w:p>
    <w:p>
      <w:pPr>
        <w:numPr>
          <w:ilvl w:val="0"/>
          <w:numId w:val="106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6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6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6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6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90"/>
    <w:bookmarkStart w:id="91" w:name="the-value-of-good-governance"/>
    <w:p>
      <w:pPr>
        <w:pStyle w:val="Heading3"/>
      </w:pPr>
      <w:r>
        <w:t xml:space="preserve">4.3.3 The Value of Good Governance</w:t>
      </w:r>
    </w:p>
    <w:p>
      <w:pPr>
        <w:pStyle w:val="FirstParagraph"/>
      </w:pPr>
      <w:r>
        <w:t xml:space="preserve">In principle, the idea is that good governance (at both the country and corporate levels) is linked to:</w:t>
      </w:r>
    </w:p>
    <w:p>
      <w:pPr>
        <w:pStyle w:val="Compact"/>
        <w:numPr>
          <w:ilvl w:val="0"/>
          <w:numId w:val="1068"/>
        </w:numPr>
      </w:pPr>
      <w:r>
        <w:t xml:space="preserve">Cost of capital (lower)</w:t>
      </w:r>
    </w:p>
    <w:p>
      <w:pPr>
        <w:pStyle w:val="Compact"/>
        <w:numPr>
          <w:ilvl w:val="0"/>
          <w:numId w:val="1068"/>
        </w:numPr>
      </w:pPr>
      <w:r>
        <w:t xml:space="preserve">Return to shareholders (higher)</w:t>
      </w:r>
    </w:p>
    <w:p>
      <w:pPr>
        <w:pStyle w:val="Compact"/>
        <w:numPr>
          <w:ilvl w:val="0"/>
          <w:numId w:val="106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91"/>
    <w:bookmarkEnd w:id="92"/>
    <w:bookmarkEnd w:id="93"/>
    <w:bookmarkStart w:id="114" w:name="the-market-for-corporate-control"/>
    <w:p>
      <w:pPr>
        <w:pStyle w:val="Heading1"/>
      </w:pPr>
      <w:r>
        <w:t xml:space="preserve">5.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bookmarkStart w:id="94" w:name="the-concept"/>
    <w:p>
      <w:pPr>
        <w:pStyle w:val="Heading3"/>
      </w:pPr>
      <w:r>
        <w:t xml:space="preserve">5.0.1 The Concept</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69"/>
        </w:numPr>
      </w:pPr>
      <w:r>
        <w:t xml:space="preserve">Cost synergies</w:t>
      </w:r>
    </w:p>
    <w:p>
      <w:pPr>
        <w:pStyle w:val="Compact"/>
        <w:numPr>
          <w:ilvl w:val="0"/>
          <w:numId w:val="1069"/>
        </w:numPr>
      </w:pPr>
      <w:r>
        <w:t xml:space="preserve">Revenue synergies</w:t>
      </w:r>
    </w:p>
    <w:p>
      <w:pPr>
        <w:pStyle w:val="Compact"/>
        <w:numPr>
          <w:ilvl w:val="0"/>
          <w:numId w:val="1069"/>
        </w:numPr>
      </w:pPr>
      <w:r>
        <w:t xml:space="preserve">Financial synergies</w:t>
      </w:r>
    </w:p>
    <w:p>
      <w:pPr>
        <w:pStyle w:val="Compact"/>
        <w:numPr>
          <w:ilvl w:val="0"/>
          <w:numId w:val="106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bookmarkEnd w:id="94"/>
    <w:bookmarkStart w:id="95" w:name="friendly-vs.-hostile-takeovers"/>
    <w:p>
      <w:pPr>
        <w:pStyle w:val="Heading3"/>
      </w:pPr>
      <w:r>
        <w:t xml:space="preserve">5.0.2 Friendly vs. Hostile Takeovers</w:t>
      </w:r>
    </w:p>
    <w:p>
      <w:pPr>
        <w:pStyle w:val="FirstParagraph"/>
      </w:pPr>
      <w:r>
        <w:rPr>
          <w:b/>
          <w:bCs/>
        </w:rPr>
        <w:t xml:space="preserve">Friendly Takeover:</w:t>
      </w:r>
    </w:p>
    <w:p>
      <w:pPr>
        <w:pStyle w:val="Compact"/>
        <w:numPr>
          <w:ilvl w:val="0"/>
          <w:numId w:val="1070"/>
        </w:numPr>
      </w:pPr>
      <w:r>
        <w:t xml:space="preserve">A bidder works with the leadership of the target firm to arrive at a mutually agreed-upon price per share</w:t>
      </w:r>
    </w:p>
    <w:p>
      <w:pPr>
        <w:pStyle w:val="Compact"/>
        <w:numPr>
          <w:ilvl w:val="0"/>
          <w:numId w:val="1070"/>
        </w:numPr>
      </w:pPr>
      <w:r>
        <w:t xml:space="preserve">Both parties would benefit from cooperative negotiations in which detailed information regarding the target firm’s operations was shared</w:t>
      </w:r>
    </w:p>
    <w:p>
      <w:pPr>
        <w:pStyle w:val="Compact"/>
        <w:numPr>
          <w:ilvl w:val="0"/>
          <w:numId w:val="1070"/>
        </w:numPr>
      </w:pPr>
      <w:r>
        <w:t xml:space="preserve">This leads to a more accurate valuation of the target and potentially a higher bid price</w:t>
      </w:r>
    </w:p>
    <w:p>
      <w:pPr>
        <w:pStyle w:val="Compact"/>
        <w:numPr>
          <w:ilvl w:val="0"/>
          <w:numId w:val="107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71"/>
        </w:numPr>
      </w:pPr>
      <w:r>
        <w:t xml:space="preserve">If the target firm’s leadership is not interested in being acquired by the bidder, it might not cooperate in information-sharing</w:t>
      </w:r>
    </w:p>
    <w:p>
      <w:pPr>
        <w:pStyle w:val="Compact"/>
        <w:numPr>
          <w:ilvl w:val="0"/>
          <w:numId w:val="107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bookmarkEnd w:id="95"/>
    <w:bookmarkStart w:id="99" w:name="key-thresholds-in-corporate-control"/>
    <w:p>
      <w:pPr>
        <w:pStyle w:val="Heading3"/>
      </w:pPr>
      <w:r>
        <w:t xml:space="preserve">5.0.3 Key Thresholds in Corporate Control</w:t>
      </w:r>
    </w:p>
    <w:p>
      <w:pPr>
        <w:pStyle w:val="FirstParagraph"/>
      </w:pPr>
      <w:r>
        <w:t xml:space="preserve">Regardless of method, the objective is the same: to gain control of a sufficient number of votes to dictate corporate actions.</w:t>
      </w:r>
    </w:p>
    <w:bookmarkStart w:id="96" w:name="disclosure-threshold"/>
    <w:p>
      <w:pPr>
        <w:pStyle w:val="Heading4"/>
      </w:pPr>
      <w:r>
        <w:t xml:space="preserve">5.0.3.1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72"/>
        </w:numPr>
      </w:pPr>
      <w:r>
        <w:t xml:space="preserve">An acquiring firm crossing this threshold is required to publicly disclose that it has gained a specific level of voting rights in the target firm</w:t>
      </w:r>
    </w:p>
    <w:p>
      <w:pPr>
        <w:pStyle w:val="Compact"/>
        <w:numPr>
          <w:ilvl w:val="0"/>
          <w:numId w:val="1072"/>
        </w:numPr>
      </w:pPr>
      <w:r>
        <w:t xml:space="preserve">This public announcement often results in a rise in the target firm’s share price</w:t>
      </w:r>
    </w:p>
    <w:p>
      <w:pPr>
        <w:pStyle w:val="Compact"/>
        <w:numPr>
          <w:ilvl w:val="0"/>
          <w:numId w:val="1072"/>
        </w:numPr>
      </w:pPr>
      <w:r>
        <w:t xml:space="preserve">The most common threshold across countries is</w:t>
      </w:r>
      <w:r>
        <w:t xml:space="preserve"> </w:t>
      </w:r>
      <w:r>
        <w:rPr>
          <w:b/>
          <w:bCs/>
        </w:rPr>
        <w:t xml:space="preserve">5%</w:t>
      </w:r>
    </w:p>
    <w:p>
      <w:pPr>
        <w:pStyle w:val="Compact"/>
        <w:numPr>
          <w:ilvl w:val="0"/>
          <w:numId w:val="1072"/>
        </w:numPr>
      </w:pPr>
      <w:r>
        <w:t xml:space="preserve">Exceptions: Canada (10%), UK (3%)</w:t>
      </w:r>
    </w:p>
    <w:p>
      <w:pPr>
        <w:pStyle w:val="Compact"/>
        <w:numPr>
          <w:ilvl w:val="0"/>
          <w:numId w:val="107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96"/>
    <w:bookmarkStart w:id="97" w:name="mandatory-bid-rule"/>
    <w:p>
      <w:pPr>
        <w:pStyle w:val="Heading4"/>
      </w:pPr>
      <w:r>
        <w:t xml:space="preserve">5.0.3.2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73"/>
        </w:numPr>
      </w:pPr>
      <w:r>
        <w:t xml:space="preserve">In many countries, an acquirer is required to stop accumulating target firm shares at 30% or 33%</w:t>
      </w:r>
    </w:p>
    <w:p>
      <w:pPr>
        <w:pStyle w:val="Compact"/>
        <w:numPr>
          <w:ilvl w:val="0"/>
          <w:numId w:val="107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73"/>
        </w:numPr>
      </w:pPr>
      <w:r>
        <w:t xml:space="preserve">The tender must also be open to shareholders for a specific period of time</w:t>
      </w:r>
    </w:p>
    <w:p>
      <w:pPr>
        <w:pStyle w:val="FirstParagraph"/>
      </w:pPr>
      <w:r>
        <w:rPr>
          <w:b/>
          <w:bCs/>
        </w:rPr>
        <w:t xml:space="preserve">Purpose:</w:t>
      </w:r>
    </w:p>
    <w:p>
      <w:pPr>
        <w:pStyle w:val="Compact"/>
        <w:numPr>
          <w:ilvl w:val="0"/>
          <w:numId w:val="1074"/>
        </w:numPr>
      </w:pPr>
      <w:r>
        <w:t xml:space="preserve">Serves as a major barrier to corporate takeovers</w:t>
      </w:r>
    </w:p>
    <w:p>
      <w:pPr>
        <w:pStyle w:val="Compact"/>
        <w:numPr>
          <w:ilvl w:val="0"/>
          <w:numId w:val="1074"/>
        </w:numPr>
      </w:pPr>
      <w:r>
        <w:t xml:space="preserve">Protects holders of control, including management, as well as minority shareholders</w:t>
      </w:r>
    </w:p>
    <w:p>
      <w:pPr>
        <w:pStyle w:val="Compact"/>
        <w:numPr>
          <w:ilvl w:val="0"/>
          <w:numId w:val="107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97"/>
    <w:bookmarkStart w:id="98" w:name="squeeze-outsell-out-rights"/>
    <w:p>
      <w:pPr>
        <w:pStyle w:val="Heading4"/>
      </w:pPr>
      <w:r>
        <w:t xml:space="preserve">5.0.3.3 Squeeze-Out/Sell-Out Rights</w:t>
      </w:r>
    </w:p>
    <w:p>
      <w:pPr>
        <w:pStyle w:val="FirstParagraph"/>
      </w:pPr>
      <w:r>
        <w:rPr>
          <w:b/>
          <w:bCs/>
        </w:rPr>
        <w:t xml:space="preserve">Squeeze-Out Right:</w:t>
      </w:r>
    </w:p>
    <w:p>
      <w:pPr>
        <w:pStyle w:val="Compact"/>
        <w:numPr>
          <w:ilvl w:val="0"/>
          <w:numId w:val="107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7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76"/>
        </w:numPr>
      </w:pPr>
      <w:r>
        <w:t xml:space="preserve">The dual consideration to squeeze-out rights</w:t>
      </w:r>
    </w:p>
    <w:p>
      <w:pPr>
        <w:pStyle w:val="Compact"/>
        <w:numPr>
          <w:ilvl w:val="0"/>
          <w:numId w:val="1076"/>
        </w:numPr>
      </w:pPr>
      <w:r>
        <w:t xml:space="preserve">Ensures that residual minority shareholders are offered a fair price once control has changed</w:t>
      </w:r>
    </w:p>
    <w:bookmarkEnd w:id="98"/>
    <w:bookmarkEnd w:id="99"/>
    <w:bookmarkStart w:id="109" w:name="cross-border-takeovers-and-defenses"/>
    <w:p>
      <w:pPr>
        <w:pStyle w:val="Heading2"/>
      </w:pPr>
      <w:r>
        <w:t xml:space="preserve">5.1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Start w:id="100" w:name="common-objective-of-legal-structures"/>
    <w:p>
      <w:pPr>
        <w:pStyle w:val="Heading3"/>
      </w:pPr>
      <w:r>
        <w:t xml:space="preserve">5.1.1 Common Objective of Legal Structures</w:t>
      </w:r>
    </w:p>
    <w:p>
      <w:pPr>
        <w:pStyle w:val="FirstParagraph"/>
      </w:pPr>
      <w:r>
        <w:t xml:space="preserve">These legal structures all possessed a common objective: to strike a balance between:</w:t>
      </w:r>
    </w:p>
    <w:p>
      <w:pPr>
        <w:pStyle w:val="Compact"/>
        <w:numPr>
          <w:ilvl w:val="0"/>
          <w:numId w:val="1077"/>
        </w:numPr>
      </w:pPr>
      <w:r>
        <w:t xml:space="preserve">Creating an open and efficient marketplace for corporate control</w:t>
      </w:r>
    </w:p>
    <w:p>
      <w:pPr>
        <w:pStyle w:val="Compact"/>
        <w:numPr>
          <w:ilvl w:val="0"/>
          <w:numId w:val="1077"/>
        </w:numPr>
      </w:pPr>
      <w:r>
        <w:t xml:space="preserve">The efficient deployment of capital</w:t>
      </w:r>
    </w:p>
    <w:p>
      <w:pPr>
        <w:pStyle w:val="Compact"/>
        <w:numPr>
          <w:ilvl w:val="0"/>
          <w:numId w:val="1077"/>
        </w:numPr>
      </w:pPr>
      <w:r>
        <w:t xml:space="preserve">Ensuring the fair treatment of all shareholders, including minority shareholders</w:t>
      </w:r>
    </w:p>
    <w:bookmarkEnd w:id="100"/>
    <w:bookmarkStart w:id="101" w:name="anti-takeover-provisions-atps"/>
    <w:p>
      <w:pPr>
        <w:pStyle w:val="Heading3"/>
      </w:pPr>
      <w:r>
        <w:t xml:space="preserve">5.1.2 Anti-Takeover Provisions (ATPs)</w:t>
      </w:r>
    </w:p>
    <w:p>
      <w:pPr>
        <w:pStyle w:val="FirstParagraph"/>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bookmarkEnd w:id="101"/>
    <w:bookmarkStart w:id="108" w:name="specific-defense-mechanisms"/>
    <w:p>
      <w:pPr>
        <w:pStyle w:val="Heading3"/>
      </w:pPr>
      <w:r>
        <w:t xml:space="preserve">5.1.3 Specific Defense Mechanisms</w:t>
      </w:r>
    </w:p>
    <w:bookmarkStart w:id="102" w:name="dual-class-stock"/>
    <w:p>
      <w:pPr>
        <w:pStyle w:val="Heading4"/>
      </w:pPr>
      <w:r>
        <w:t xml:space="preserve">5.1.3.1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78"/>
        </w:numPr>
      </w:pPr>
      <w:r>
        <w:t xml:space="preserve">One class may be entitled to different dividends than the other</w:t>
      </w:r>
    </w:p>
    <w:p>
      <w:pPr>
        <w:pStyle w:val="Compact"/>
        <w:numPr>
          <w:ilvl w:val="0"/>
          <w:numId w:val="1078"/>
        </w:numPr>
      </w:pPr>
      <w:r>
        <w:t xml:space="preserve">Different numbers of voting rights than the other</w:t>
      </w:r>
    </w:p>
    <w:p>
      <w:pPr>
        <w:pStyle w:val="Compact"/>
        <w:numPr>
          <w:ilvl w:val="0"/>
          <w:numId w:val="107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bookmarkEnd w:id="102"/>
    <w:bookmarkStart w:id="103" w:name="poison-pills"/>
    <w:p>
      <w:pPr>
        <w:pStyle w:val="Heading4"/>
      </w:pPr>
      <w:r>
        <w:t xml:space="preserve">5.1.3.2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79"/>
        </w:numPr>
      </w:pPr>
      <w:r>
        <w:t xml:space="preserve">The target firm’s bylaws allow the issuance of additional shares to existing shareholders</w:t>
      </w:r>
    </w:p>
    <w:p>
      <w:pPr>
        <w:pStyle w:val="Compact"/>
        <w:numPr>
          <w:ilvl w:val="0"/>
          <w:numId w:val="1079"/>
        </w:numPr>
      </w:pPr>
      <w:r>
        <w:t xml:space="preserve">This dilutes the voting shares of the acquirer</w:t>
      </w:r>
    </w:p>
    <w:p>
      <w:pPr>
        <w:pStyle w:val="FirstParagraph"/>
      </w:pPr>
      <w:r>
        <w:rPr>
          <w:b/>
          <w:bCs/>
        </w:rPr>
        <w:t xml:space="preserve">Types of Poison Pills:</w:t>
      </w:r>
    </w:p>
    <w:p>
      <w:pPr>
        <w:pStyle w:val="Compact"/>
        <w:numPr>
          <w:ilvl w:val="0"/>
          <w:numId w:val="108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8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103"/>
    <w:bookmarkStart w:id="104" w:name="staggered-boards"/>
    <w:p>
      <w:pPr>
        <w:pStyle w:val="Heading4"/>
      </w:pPr>
      <w:r>
        <w:t xml:space="preserve">5.1.3.3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81"/>
        </w:numPr>
      </w:pPr>
      <w:r>
        <w:t xml:space="preserve">To prevent an acquirer from gaining new influence via newly elected board members (typically via a proxy fight)</w:t>
      </w:r>
    </w:p>
    <w:p>
      <w:pPr>
        <w:pStyle w:val="Compact"/>
        <w:numPr>
          <w:ilvl w:val="0"/>
          <w:numId w:val="1081"/>
        </w:numPr>
      </w:pPr>
      <w:r>
        <w:t xml:space="preserve">A company can ensure that its board member terms are staggered</w:t>
      </w:r>
    </w:p>
    <w:p>
      <w:pPr>
        <w:pStyle w:val="Compact"/>
        <w:numPr>
          <w:ilvl w:val="0"/>
          <w:numId w:val="1081"/>
        </w:numPr>
      </w:pPr>
      <w:r>
        <w:t xml:space="preserve">This means that no newly elected controlling board composition is attainable at any one time</w:t>
      </w:r>
    </w:p>
    <w:bookmarkEnd w:id="104"/>
    <w:bookmarkStart w:id="105" w:name="white-knights"/>
    <w:p>
      <w:pPr>
        <w:pStyle w:val="Heading4"/>
      </w:pPr>
      <w:r>
        <w:t xml:space="preserve">5.1.3.4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82"/>
        </w:numPr>
      </w:pPr>
      <w:r>
        <w:t xml:space="preserve">The white knight will still need to out-bid the hostile acquirer</w:t>
      </w:r>
    </w:p>
    <w:p>
      <w:pPr>
        <w:pStyle w:val="Compact"/>
        <w:numPr>
          <w:ilvl w:val="0"/>
          <w:numId w:val="1082"/>
        </w:numPr>
      </w:pPr>
      <w:r>
        <w:t xml:space="preserve">The target helps to support that higher bid price by working cooperatively with the white knight, particularly in information sharing</w:t>
      </w:r>
    </w:p>
    <w:p>
      <w:pPr>
        <w:pStyle w:val="Compact"/>
        <w:numPr>
          <w:ilvl w:val="0"/>
          <w:numId w:val="1082"/>
        </w:numPr>
      </w:pPr>
      <w:r>
        <w:t xml:space="preserve">In some cases, the cooperation is in return for business and employment assurances post-acquisition</w:t>
      </w:r>
    </w:p>
    <w:bookmarkEnd w:id="105"/>
    <w:bookmarkStart w:id="106" w:name="pac-man-defense"/>
    <w:p>
      <w:pPr>
        <w:pStyle w:val="Heading4"/>
      </w:pPr>
      <w:r>
        <w:t xml:space="preserve">5.1.3.5 Pac-Man Defense</w:t>
      </w:r>
    </w:p>
    <w:p>
      <w:pPr>
        <w:pStyle w:val="FirstParagraph"/>
      </w:pPr>
      <w:r>
        <w:t xml:space="preserve">Named after the game, the target firm may itself become the acquirer and the acquirer the target.</w:t>
      </w:r>
    </w:p>
    <w:p>
      <w:pPr>
        <w:pStyle w:val="Compact"/>
        <w:numPr>
          <w:ilvl w:val="0"/>
          <w:numId w:val="1083"/>
        </w:numPr>
      </w:pPr>
      <w:r>
        <w:t xml:space="preserve">In the earliest stages of a potential hostile takeover, the target firm may start buying shares in the bidder company</w:t>
      </w:r>
    </w:p>
    <w:p>
      <w:pPr>
        <w:pStyle w:val="Compact"/>
        <w:numPr>
          <w:ilvl w:val="0"/>
          <w:numId w:val="1083"/>
        </w:numPr>
      </w:pPr>
      <w:r>
        <w:t xml:space="preserve">Often in the process of funding these growing share accumulations, the target firm’s debt levels begin to rise, making it less desirable as well</w:t>
      </w:r>
    </w:p>
    <w:bookmarkEnd w:id="106"/>
    <w:bookmarkStart w:id="107" w:name="asset-divestment-and-debt"/>
    <w:p>
      <w:pPr>
        <w:pStyle w:val="Heading4"/>
      </w:pPr>
      <w:r>
        <w:t xml:space="preserve">5.1.3.6 Asset Divestment and Debt</w:t>
      </w:r>
    </w:p>
    <w:p>
      <w:pPr>
        <w:pStyle w:val="FirstParagraph"/>
      </w:pPr>
      <w:r>
        <w:t xml:space="preserve">Other defense mechanisms focus on making the target firm less desirable:</w:t>
      </w:r>
    </w:p>
    <w:p>
      <w:pPr>
        <w:pStyle w:val="Compact"/>
        <w:numPr>
          <w:ilvl w:val="0"/>
          <w:numId w:val="108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84"/>
        </w:numPr>
      </w:pPr>
      <w:r>
        <w:rPr>
          <w:b/>
          <w:bCs/>
        </w:rPr>
        <w:t xml:space="preserve">Taking on large additional debt obligations</w:t>
      </w:r>
      <w:r>
        <w:t xml:space="preserve"> </w:t>
      </w:r>
      <w:r>
        <w:t xml:space="preserve">to make acquisition more costly and more of a financial burden to the hostile acquirer</w:t>
      </w:r>
    </w:p>
    <w:bookmarkEnd w:id="107"/>
    <w:bookmarkEnd w:id="108"/>
    <w:bookmarkEnd w:id="109"/>
    <w:bookmarkStart w:id="113" w:name="Xa41bf0798ed8ddcd67c99f4b0e15e40f751d108"/>
    <w:p>
      <w:pPr>
        <w:pStyle w:val="Heading2"/>
      </w:pPr>
      <w:r>
        <w:t xml:space="preserve">5.2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Start w:id="110" w:name="Xf91196a3edf8da13d23d77e11f0ce793b8df42f"/>
    <w:p>
      <w:pPr>
        <w:pStyle w:val="Heading3"/>
      </w:pPr>
      <w:r>
        <w:t xml:space="preserve">5.2.1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bookmarkEnd w:id="110"/>
    <w:bookmarkStart w:id="111" w:name="the-triple-bottom-line"/>
    <w:p>
      <w:pPr>
        <w:pStyle w:val="Heading3"/>
      </w:pPr>
      <w:r>
        <w:t xml:space="preserve">5.2.2 The Triple Bottom Line</w:t>
      </w:r>
    </w:p>
    <w:p>
      <w:pPr>
        <w:pStyle w:val="FirstParagraph"/>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85"/>
        </w:numPr>
      </w:pPr>
      <w:r>
        <w:rPr>
          <w:b/>
          <w:bCs/>
        </w:rPr>
        <w:t xml:space="preserve">Profitability</w:t>
      </w:r>
    </w:p>
    <w:p>
      <w:pPr>
        <w:pStyle w:val="Compact"/>
        <w:numPr>
          <w:ilvl w:val="0"/>
          <w:numId w:val="1085"/>
        </w:numPr>
      </w:pPr>
      <w:r>
        <w:rPr>
          <w:b/>
          <w:bCs/>
        </w:rPr>
        <w:t xml:space="preserve">Social responsibility</w:t>
      </w:r>
    </w:p>
    <w:p>
      <w:pPr>
        <w:pStyle w:val="Compact"/>
        <w:numPr>
          <w:ilvl w:val="0"/>
          <w:numId w:val="108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111"/>
    <w:bookmarkStart w:id="112" w:name="X4b79cfa230179972d61005174b805988aa55a4c"/>
    <w:p>
      <w:pPr>
        <w:pStyle w:val="Heading3"/>
      </w:pPr>
      <w:r>
        <w:t xml:space="preserve">5.2.3 Two Arguments for Corporate Responsibility</w:t>
      </w:r>
    </w:p>
    <w:p>
      <w:pPr>
        <w:pStyle w:val="FirstParagraph"/>
      </w:pPr>
      <w:r>
        <w:rPr>
          <w:b/>
          <w:bCs/>
        </w:rPr>
        <w:t xml:space="preserve">The Economic Channel:</w:t>
      </w:r>
    </w:p>
    <w:p>
      <w:pPr>
        <w:pStyle w:val="Compact"/>
        <w:numPr>
          <w:ilvl w:val="0"/>
          <w:numId w:val="108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8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8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112"/>
    <w:bookmarkEnd w:id="113"/>
    <w:bookmarkEnd w:id="114"/>
    <w:bookmarkStart w:id="118" w:name="conclusion"/>
    <w:p>
      <w:pPr>
        <w:pStyle w:val="Heading1"/>
      </w:pPr>
      <w:r>
        <w:t xml:space="preserve">6. Conclusion</w:t>
      </w:r>
    </w:p>
    <w:bookmarkStart w:id="115" w:name="key-takeaways"/>
    <w:p>
      <w:pPr>
        <w:pStyle w:val="Heading2"/>
      </w:pPr>
      <w:r>
        <w:t xml:space="preserve">6.1 Key Takeaways</w:t>
      </w:r>
    </w:p>
    <w:p>
      <w:pPr>
        <w:numPr>
          <w:ilvl w:val="0"/>
          <w:numId w:val="108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8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88"/>
        </w:numPr>
      </w:pPr>
      <w:r>
        <w:rPr>
          <w:b/>
          <w:bCs/>
        </w:rPr>
        <w:t xml:space="preserve">Two competing models of capitalism:</w:t>
      </w:r>
    </w:p>
    <w:p>
      <w:pPr>
        <w:pStyle w:val="Compact"/>
        <w:numPr>
          <w:ilvl w:val="1"/>
          <w:numId w:val="1089"/>
        </w:numPr>
      </w:pPr>
      <w:r>
        <w:t xml:space="preserve">Shareholder capitalism focuses on maximizing returns to shareholders</w:t>
      </w:r>
    </w:p>
    <w:p>
      <w:pPr>
        <w:pStyle w:val="Compact"/>
        <w:numPr>
          <w:ilvl w:val="1"/>
          <w:numId w:val="1089"/>
        </w:numPr>
      </w:pPr>
      <w:r>
        <w:t xml:space="preserve">Stakeholder capitalism considers the interests of all stakeholders including employees, community, and environment</w:t>
      </w:r>
    </w:p>
    <w:p>
      <w:pPr>
        <w:numPr>
          <w:ilvl w:val="0"/>
          <w:numId w:val="108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8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88"/>
        </w:numPr>
      </w:pPr>
      <w:r>
        <w:rPr>
          <w:b/>
          <w:bCs/>
        </w:rPr>
        <w:t xml:space="preserve">Sustainability is increasingly important:</w:t>
      </w:r>
      <w:r>
        <w:t xml:space="preserve"> </w:t>
      </w:r>
      <w:r>
        <w:t xml:space="preserve">ESG concerns are becoming central to corporate strategy and investor decision-making.</w:t>
      </w:r>
    </w:p>
    <w:p>
      <w:r>
        <w:pict>
          <v:rect style="width:0;height:1.5pt" o:hralign="center" o:hrstd="t" o:hr="t"/>
        </w:pict>
      </w:r>
    </w:p>
    <w:bookmarkEnd w:id="115"/>
    <w:bookmarkStart w:id="116" w:name="discussion-questions"/>
    <w:p>
      <w:pPr>
        <w:pStyle w:val="Heading2"/>
      </w:pPr>
      <w:r>
        <w:t xml:space="preserve">6.2 Discussion Questions</w:t>
      </w:r>
    </w:p>
    <w:p>
      <w:pPr>
        <w:numPr>
          <w:ilvl w:val="0"/>
          <w:numId w:val="1090"/>
        </w:numPr>
      </w:pPr>
      <w:r>
        <w:t xml:space="preserve">In the case of Apple, what factors might have influenced the company’s decision to begin paying dividends and taking on debt after years of avoiding both?</w:t>
      </w:r>
    </w:p>
    <w:p>
      <w:pPr>
        <w:numPr>
          <w:ilvl w:val="0"/>
          <w:numId w:val="1090"/>
        </w:numPr>
      </w:pPr>
      <w:r>
        <w:t xml:space="preserve">Compare and contrast the agency problem in a widely held U.S. corporation versus a family-controlled firm in Germany. Which faces greater agency costs? Why?</w:t>
      </w:r>
    </w:p>
    <w:p>
      <w:pPr>
        <w:numPr>
          <w:ilvl w:val="0"/>
          <w:numId w:val="1090"/>
        </w:numPr>
      </w:pPr>
      <w:r>
        <w:t xml:space="preserve">How does the legal system (common law vs. civil law) influence corporate governance practices in different countries?</w:t>
      </w:r>
    </w:p>
    <w:p>
      <w:pPr>
        <w:numPr>
          <w:ilvl w:val="0"/>
          <w:numId w:val="1090"/>
        </w:numPr>
      </w:pPr>
      <w:r>
        <w:t xml:space="preserve">Do activist investors create value or destroy value? Consider arguments on both sides.</w:t>
      </w:r>
    </w:p>
    <w:p>
      <w:pPr>
        <w:numPr>
          <w:ilvl w:val="0"/>
          <w:numId w:val="1090"/>
        </w:numPr>
      </w:pPr>
      <w:r>
        <w:t xml:space="preserve">Should corporations prioritize shareholder wealth maximization or stakeholder capitalism? What are the trade-offs?</w:t>
      </w:r>
    </w:p>
    <w:p>
      <w:r>
        <w:pict>
          <v:rect style="width:0;height:1.5pt" o:hralign="center" o:hrstd="t" o:hr="t"/>
        </w:pict>
      </w:r>
    </w:p>
    <w:bookmarkEnd w:id="116"/>
    <w:bookmarkStart w:id="117" w:name="practice-problems"/>
    <w:p>
      <w:pPr>
        <w:pStyle w:val="Heading2"/>
      </w:pPr>
      <w:r>
        <w:t xml:space="preserve">6.3 Practice Problems</w:t>
      </w:r>
    </w:p>
    <w:p>
      <w:pPr>
        <w:pStyle w:val="FirstParagraph"/>
      </w:pPr>
      <w:r>
        <w:rPr>
          <w:b/>
          <w:bCs/>
        </w:rPr>
        <w:t xml:space="preserve">Problem 1: Shareholder Return Calculation</w:t>
      </w:r>
    </w:p>
    <w:p>
      <w:pPr>
        <w:pStyle w:val="BodyText"/>
      </w:pPr>
      <w:r>
        <w:t xml:space="preserve">If the share price of a company rises from $12 to $15 over a one-year period, what is the rate of return to the shareholder given each of the following:</w:t>
      </w:r>
    </w:p>
    <w:p>
      <w:pPr>
        <w:pStyle w:val="Compact"/>
        <w:numPr>
          <w:ilvl w:val="0"/>
          <w:numId w:val="1091"/>
        </w:numPr>
      </w:pPr>
      <w:r>
        <w:t xml:space="preserve">The company paid no dividends</w:t>
      </w:r>
    </w:p>
    <w:p>
      <w:pPr>
        <w:pStyle w:val="Compact"/>
        <w:numPr>
          <w:ilvl w:val="0"/>
          <w:numId w:val="1091"/>
        </w:numPr>
      </w:pPr>
      <w:r>
        <w:t xml:space="preserve">The company paid a dividend of $1 per share</w:t>
      </w:r>
    </w:p>
    <w:p>
      <w:pPr>
        <w:pStyle w:val="Compact"/>
        <w:numPr>
          <w:ilvl w:val="0"/>
          <w:numId w:val="1091"/>
        </w:numPr>
      </w:pPr>
      <w:r>
        <w:t xml:space="preserve">Separate the total return into the dividend yield and the capital gain</w:t>
      </w:r>
    </w:p>
    <w:p>
      <w:pPr>
        <w:pStyle w:val="FirstParagraph"/>
      </w:pPr>
      <w:r>
        <w:rPr>
          <w:b/>
          <w:bCs/>
        </w:rPr>
        <w:t xml:space="preserve">Problem 2: Dual Class Voting Rights</w:t>
      </w:r>
    </w:p>
    <w:p>
      <w:pPr>
        <w:pStyle w:val="BodyText"/>
      </w:pPr>
      <w:r>
        <w:t xml:space="preserve">PolyProduction Inc. has two classes of common stock. Class A has 5 million shares with 10 votes per share. Class B has 5 million shares with 1 vote per share. If the dividends per share are equal for both Class A and B stock:</w:t>
      </w:r>
    </w:p>
    <w:p>
      <w:pPr>
        <w:pStyle w:val="Compact"/>
        <w:numPr>
          <w:ilvl w:val="0"/>
          <w:numId w:val="1092"/>
        </w:numPr>
      </w:pPr>
      <w:r>
        <w:t xml:space="preserve">What proportion of total votes do Class A shareholders have?</w:t>
      </w:r>
    </w:p>
    <w:p>
      <w:pPr>
        <w:pStyle w:val="Compact"/>
        <w:numPr>
          <w:ilvl w:val="0"/>
          <w:numId w:val="1092"/>
        </w:numPr>
      </w:pPr>
      <w:r>
        <w:t xml:space="preserve">What proportion of dividends do Class A shareholders receive?</w:t>
      </w:r>
    </w:p>
    <w:p>
      <w:r>
        <w:pict>
          <v:rect style="width:0;height:1.5pt" o:hralign="center" o:hrstd="t" o:hr="t"/>
        </w:pict>
      </w:r>
    </w:p>
    <w:p>
      <w:pPr>
        <w:pStyle w:val="FirstParagraph"/>
      </w:pPr>
      <w:r>
        <w:rPr>
          <w:b/>
          <w:bCs/>
        </w:rPr>
        <w:t xml:space="preserve">Next:</w:t>
      </w:r>
      <w:r>
        <w:t xml:space="preserve"> </w:t>
      </w:r>
      <w:r>
        <w:t xml:space="preserve">Chapter 5 - The Foreign Exchange Market</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4.1 - Financial Goals, Corporate Governance, and the Market for Corporate Control</dc:title>
  <dc:creator>Prof. Barker</dc:creator>
  <cp:keywords/>
  <dcterms:created xsi:type="dcterms:W3CDTF">2026-03-16T04:51:38Z</dcterms:created>
  <dcterms:modified xsi:type="dcterms:W3CDTF">2026-03-16T04:51:38Z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