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2026-03-28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introduction"/>
    <w:p>
      <w:pPr>
        <w:pStyle w:val="Heading1"/>
      </w:pPr>
      <w:r>
        <w:t xml:space="preserve">10. Introduction</w:t>
      </w:r>
    </w:p>
    <w:p>
      <w:pPr>
        <w:pStyle w:val="FirstParagraph"/>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“In theory there is no difference between theory and practice. In practice there is.”</w:t>
      </w:r>
      <w:r>
        <w:t xml:space="preserve"> </w:t>
      </w:r>
      <w:r>
        <w:t xml:space="preserve">- Yogi Berra</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Quote 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t xml:space="preserve">Chapter 10 turns from exchange-rate determination to a much more concrete managerial problem:</w:t>
      </w:r>
      <w:r>
        <w:t xml:space="preserve"> </w:t>
      </w:r>
      <w:r>
        <w:rPr>
          <w:b/>
          <w:bCs/>
        </w:rPr>
        <w:t xml:space="preserve">once exchange rates move, how does that movement affect the firm’s actual contracts, cash flows, reported income, and treasury decisions?</w:t>
      </w:r>
      <w:r>
        <w:t xml:space="preserve"> </w:t>
      </w:r>
      <w:r>
        <w:t xml:space="preserve">This is where international finance becomes operational. A sale may already be booked. A payable may already be due. A loan may already be denominated in a foreign currency. Once that happens, management is no longer merely asking what exchange rates</w:t>
      </w:r>
      <w:r>
        <w:t xml:space="preserve"> </w:t>
      </w:r>
      <w:r>
        <w:rPr>
          <w:i/>
          <w:iCs/>
        </w:rPr>
        <w:t xml:space="preserve">should</w:t>
      </w:r>
      <w:r>
        <w:t xml:space="preserve"> </w:t>
      </w:r>
      <w:r>
        <w:t xml:space="preserve">be. Management is asking what exchange rates will do to the value of a real obligation.</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5"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The first distinction is between</w:t>
      </w:r>
      <w:r>
        <w:t xml:space="preserve"> </w:t>
      </w:r>
      <w:r>
        <w:rPr>
          <w:b/>
          <w:bCs/>
        </w:rPr>
        <w:t xml:space="preserve">accounting-based exposures</w:t>
      </w:r>
      <w:r>
        <w:t xml:space="preserve"> </w:t>
      </w:r>
      <w:r>
        <w:t xml:space="preserve">and</w:t>
      </w:r>
      <w:r>
        <w:t xml:space="preserve"> </w:t>
      </w:r>
      <w:r>
        <w:rPr>
          <w:b/>
          <w:bCs/>
        </w:rPr>
        <w:t xml:space="preserve">competitiveness-based exposure</w:t>
      </w:r>
      <w:r>
        <w:t xml:space="preserve">.</w:t>
      </w:r>
    </w:p>
    <w:p>
      <w:pPr>
        <w:pStyle w:val="Compact"/>
        <w:numPr>
          <w:ilvl w:val="0"/>
          <w:numId w:val="1004"/>
        </w:numPr>
      </w:pPr>
      <w:r>
        <w:rPr>
          <w:b/>
          <w:bCs/>
        </w:rPr>
        <w:t xml:space="preserve">Accounting exposures</w:t>
      </w:r>
      <w:r>
        <w:t xml:space="preserve"> </w:t>
      </w:r>
      <w:r>
        <w:t xml:space="preserve">arise because specific contracts, receivables, payables, assets, liabilities, or financial statements are denominated in foreign currency.</w:t>
      </w:r>
    </w:p>
    <w:p>
      <w:pPr>
        <w:pStyle w:val="Compact"/>
        <w:numPr>
          <w:ilvl w:val="0"/>
          <w:numId w:val="1004"/>
        </w:numPr>
      </w:pPr>
      <w:r>
        <w:rPr>
          <w:b/>
          <w:bCs/>
        </w:rPr>
        <w:t xml:space="preserve">Competitiveness-based exposure</w:t>
      </w:r>
      <w:r>
        <w:t xml:space="preserve"> </w:t>
      </w:r>
      <w:r>
        <w:t xml:space="preserve">arises because exchange-rate changes alter the firm’s future sales volume, prices, costs, and market position relative to competitors.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Exposure Type</w:t>
            </w:r>
          </w:p>
        </w:tc>
        <w:tc>
          <w:tcPr/>
          <w:p>
            <w:pPr>
              <w:pStyle w:val="Compact"/>
            </w:pPr>
            <w:r>
              <w:t xml:space="preserve">Core Idea</w:t>
            </w:r>
          </w:p>
        </w:tc>
        <w:tc>
          <w:tcPr/>
          <w:p>
            <w:pPr>
              <w:pStyle w:val="Compact"/>
              <w:jc w:val="right"/>
            </w:pPr>
            <w:r>
              <w:t xml:space="preserve">Time Horizon</w:t>
            </w:r>
          </w:p>
        </w:tc>
        <w:tc>
          <w:tcPr/>
          <w:p>
            <w:pPr>
              <w:pStyle w:val="Compact"/>
            </w:pPr>
            <w:r>
              <w:t xml:space="preserve">Cash Flow Effect?</w:t>
            </w:r>
          </w:p>
        </w:tc>
        <w:tc>
          <w:tcPr/>
          <w:p>
            <w:pPr>
              <w:pStyle w:val="Compact"/>
            </w:pPr>
            <w:r>
              <w:t xml:space="preserve">Income Statement / Equity Effect?</w:t>
            </w: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jc w:val="right"/>
            </w:pPr>
            <w:r>
              <w:t xml:space="preserve">Short- to medium-term</w:t>
            </w:r>
          </w:p>
        </w:tc>
        <w:tc>
          <w:tcPr/>
          <w:p>
            <w:pPr>
              <w:pStyle w:val="Compact"/>
            </w:pPr>
            <w:r>
              <w:t xml:space="preserve">Yes</w:t>
            </w:r>
          </w:p>
        </w:tc>
        <w:tc>
          <w:tcPr/>
          <w:p>
            <w:pPr>
              <w:pStyle w:val="Compact"/>
            </w:pPr>
            <w:r>
              <w:t xml:space="preserve">Yes</w:t>
            </w: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jc w:val="right"/>
            </w:pPr>
            <w:r>
              <w:t xml:space="preserve">Accounting period by accounting period</w:t>
            </w:r>
          </w:p>
        </w:tc>
        <w:tc>
          <w:tcPr/>
          <w:p>
            <w:pPr>
              <w:pStyle w:val="Compact"/>
            </w:pPr>
            <w:r>
              <w:t xml:space="preserve">No direct cash-flow effect</w:t>
            </w:r>
          </w:p>
        </w:tc>
        <w:tc>
          <w:tcPr/>
          <w:p>
            <w:pPr>
              <w:pStyle w:val="Compact"/>
            </w:pPr>
            <w:r>
              <w:t xml:space="preserve">Yes</w:t>
            </w: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jc w:val="right"/>
            </w:pPr>
            <w:r>
              <w:t xml:space="preserve">Medium- to long-term</w:t>
            </w:r>
          </w:p>
        </w:tc>
        <w:tc>
          <w:tcPr/>
          <w:p>
            <w:pPr>
              <w:pStyle w:val="Compact"/>
            </w:pPr>
            <w:r>
              <w:t xml:space="preserve">Yes</w:t>
            </w:r>
          </w:p>
        </w:tc>
        <w:tc>
          <w:tcPr/>
          <w:p>
            <w:pPr>
              <w:pStyle w:val="Compact"/>
            </w:pPr>
            <w:r>
              <w:t xml:space="preserve">Eventually yes, through operations</w:t>
            </w:r>
          </w:p>
        </w:tc>
      </w:tr>
    </w:tbl>
    <w:bookmarkStart w:id="21" w:name="transaction-exposure"/>
    <w:p>
      <w:pPr>
        <w:pStyle w:val="Heading3"/>
      </w:pPr>
      <w:r>
        <w:t xml:space="preserve">10.1.1 Transaction exposure</w:t>
      </w:r>
    </w:p>
    <w:p>
      <w:pPr>
        <w:pStyle w:val="FirstParagraph"/>
      </w:pPr>
      <w:r>
        <w:rPr>
          <w:b/>
          <w:bCs/>
        </w:rPr>
        <w:t xml:space="preserve">Transaction exposure</w:t>
      </w:r>
      <w:r>
        <w:t xml:space="preserve"> </w:t>
      </w:r>
      <w:r>
        <w:t xml:space="preserve">measures changes in the value of contractual obligations already incurred but not yet settled. It therefore concerns</w:t>
      </w:r>
      <w:r>
        <w:t xml:space="preserve"> </w:t>
      </w:r>
      <w:r>
        <w:rPr>
          <w:b/>
          <w:bCs/>
        </w:rPr>
        <w:t xml:space="preserve">cash flows already contracted for</w:t>
      </w:r>
      <w:r>
        <w:t xml:space="preserve">. If the contract is denominated in a foreign currency and settlement occurs in the future, the domestic-currency value of that settlement is uncertain.</w:t>
      </w:r>
    </w:p>
    <w:p>
      <w:pPr>
        <w:pStyle w:val="BodyText"/>
      </w:pPr>
      <w:r>
        <w:t xml:space="preserve">This is why transaction exposure is often described as an</w:t>
      </w:r>
      <w:r>
        <w:t xml:space="preserve"> </w:t>
      </w:r>
      <w:r>
        <w:rPr>
          <w:b/>
          <w:bCs/>
        </w:rPr>
        <w:t xml:space="preserve">on-balance-sheet exposure</w:t>
      </w:r>
      <w:r>
        <w:t xml:space="preserve">. The obligation is identifiable. It has a stated amount. It has a maturity date. What remains uncertain is the home-currency value at settlement.</w:t>
      </w:r>
    </w:p>
    <w:p>
      <w:pPr>
        <w:pStyle w:val="BodyText"/>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FirstParagraph"/>
      </w:pPr>
      <w:r>
        <w:rPr>
          <w:b/>
          <w:bCs/>
        </w:rPr>
        <w:t xml:space="preserve">Translation exposure</w:t>
      </w:r>
      <w:r>
        <w:t xml:space="preserve"> </w:t>
      </w:r>
      <w:r>
        <w:t xml:space="preserve">is the potential for accounting-based changes in owner’s equity or consolidated income because foreign-currency-denominated financial statements must be translated into a single reporting currency for consolidated reporting.</w:t>
      </w:r>
    </w:p>
    <w:p>
      <w:pPr>
        <w:pStyle w:val="BodyText"/>
      </w:pPr>
      <w:r>
        <w:t xml:space="preserve">This exposure is important, but it differs fundamentally from transaction exposure. Translation exposure is generally</w:t>
      </w:r>
      <w:r>
        <w:t xml:space="preserve"> </w:t>
      </w:r>
      <w:r>
        <w:rPr>
          <w:b/>
          <w:bCs/>
        </w:rPr>
        <w:t xml:space="preserve">unrealized</w:t>
      </w:r>
      <w:r>
        <w:t xml:space="preserve">. It does</w:t>
      </w:r>
      <w:r>
        <w:t xml:space="preserve"> </w:t>
      </w:r>
      <w:r>
        <w:rPr>
          <w:b/>
          <w:bCs/>
        </w:rPr>
        <w:t xml:space="preserve">not</w:t>
      </w:r>
      <w:r>
        <w:t xml:space="preserve"> </w:t>
      </w:r>
      <w:r>
        <w:t xml:space="preserve">by itself create or destroy operating cash flow. It changes reported accounting numbers, not the actual operating cash received or paid.</w:t>
      </w:r>
    </w:p>
    <w:p>
      <w:pPr>
        <w:pStyle w:val="BodyText"/>
      </w:pPr>
      <w:r>
        <w:t xml:space="preserve">That difference matters in practice:</w:t>
      </w:r>
    </w:p>
    <w:p>
      <w:pPr>
        <w:pStyle w:val="Compact"/>
        <w:numPr>
          <w:ilvl w:val="0"/>
          <w:numId w:val="1006"/>
        </w:numPr>
      </w:pPr>
      <w:r>
        <w:rPr>
          <w:b/>
          <w:bCs/>
        </w:rPr>
        <w:t xml:space="preserve">Transaction losses</w:t>
      </w:r>
      <w:r>
        <w:t xml:space="preserve"> </w:t>
      </w:r>
      <w:r>
        <w:t xml:space="preserve">are realized and typically affect taxable income in the year realized.</w:t>
      </w:r>
    </w:p>
    <w:p>
      <w:pPr>
        <w:pStyle w:val="Compact"/>
        <w:numPr>
          <w:ilvl w:val="0"/>
          <w:numId w:val="1006"/>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FirstParagraph"/>
      </w:pPr>
      <w:r>
        <w:rPr>
          <w:b/>
          <w:bCs/>
        </w:rPr>
        <w:t xml:space="preserve">Operating exposure</w:t>
      </w:r>
      <w:r>
        <w:t xml:space="preserve">—also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—measures the change in the present value of the firm resulting from unexpected exchange-rate changes that alter future operating cash flows.</w:t>
      </w:r>
    </w:p>
    <w:p>
      <w:pPr>
        <w:pStyle w:val="BodyText"/>
      </w:pPr>
      <w:r>
        <w:t xml:space="preserve">This is broader than transaction exposure. Transaction exposure asks,</w:t>
      </w:r>
      <w:r>
        <w:t xml:space="preserve"> </w:t>
      </w:r>
      <w:r>
        <w:rPr>
          <w:i/>
          <w:iCs/>
        </w:rPr>
        <w:t xml:space="preserve">What happens to a known contractual cash flow?</w:t>
      </w:r>
      <w:r>
        <w:t xml:space="preserve"> </w:t>
      </w:r>
      <w:r>
        <w:t xml:space="preserve">Operating exposure asks,</w:t>
      </w:r>
      <w:r>
        <w:t xml:space="preserve"> </w:t>
      </w:r>
      <w:r>
        <w:rPr>
          <w:i/>
          <w:iCs/>
        </w:rPr>
        <w:t xml:space="preserve">What happens to the firm’s future pricing power, demand, input costs, margins, and competitive position?</w:t>
      </w:r>
    </w:p>
    <w:p>
      <w:pPr>
        <w:pStyle w:val="BodyText"/>
      </w:pPr>
      <w:r>
        <w:t xml:space="preserve">Examples include:</w:t>
      </w:r>
    </w:p>
    <w:p>
      <w:pPr>
        <w:pStyle w:val="Compact"/>
        <w:numPr>
          <w:ilvl w:val="0"/>
          <w:numId w:val="1007"/>
        </w:numPr>
      </w:pPr>
      <w:r>
        <w:t xml:space="preserve">a stronger home currency making exports less competitive,</w:t>
      </w:r>
    </w:p>
    <w:p>
      <w:pPr>
        <w:pStyle w:val="Compact"/>
        <w:numPr>
          <w:ilvl w:val="0"/>
          <w:numId w:val="1007"/>
        </w:numPr>
      </w:pPr>
      <w:r>
        <w:t xml:space="preserve">a weaker foreign rival’s currency pressuring prices in third-country markets,</w:t>
      </w:r>
    </w:p>
    <w:p>
      <w:pPr>
        <w:pStyle w:val="Compact"/>
        <w:numPr>
          <w:ilvl w:val="0"/>
          <w:numId w:val="1007"/>
        </w:numPr>
      </w:pPr>
      <w:r>
        <w:t xml:space="preserve">imported inputs becoming cheaper after home-currency appreciation, or</w:t>
      </w:r>
    </w:p>
    <w:p>
      <w:pPr>
        <w:pStyle w:val="Compact"/>
        <w:numPr>
          <w:ilvl w:val="0"/>
          <w:numId w:val="1007"/>
        </w:numPr>
      </w:pPr>
      <w:r>
        <w:t xml:space="preserve">future foreign sales becoming more valuable in home-currency terms.</w:t>
      </w:r>
    </w:p>
    <w:bookmarkEnd w:id="23"/>
    <w:bookmarkStart w:id="24" w:name="why-the-distinction-matters"/>
    <w:p>
      <w:pPr>
        <w:pStyle w:val="Heading3"/>
      </w:pPr>
      <w:r>
        <w:t xml:space="preserve">10.1.4 Why the distinction matters</w:t>
      </w:r>
    </w:p>
    <w:p>
      <w:pPr>
        <w:pStyle w:val="FirstParagraph"/>
      </w:pPr>
      <w:r>
        <w:t xml:space="preserve">Students often confuse transaction and operating exposure because both involve future cash flows. The key difference is this:</w:t>
      </w:r>
    </w:p>
    <w:p>
      <w:pPr>
        <w:pStyle w:val="BodyText"/>
      </w:pPr>
      <m:oMathPara>
        <m:oMathParaPr>
          <m:jc m:val="center"/>
        </m:oMathParaPr>
        <m:oMath>
          <m:r>
            <m:rPr>
              <m:nor/>
              <m:sty m:val="p"/>
            </m:rPr>
            <m:t>Transaction exposure</m:t>
          </m:r>
          <m:r>
            <m:rPr>
              <m:sty m:val="p"/>
            </m:rPr>
            <m:t>=</m:t>
          </m:r>
          <m:r>
            <m:rPr>
              <m:nor/>
              <m:sty m:val="p"/>
            </m:rPr>
            <m:t>contracted future cash flows</m:t>
          </m:r>
        </m:oMath>
      </m:oMathPara>
    </w:p>
    <w:p>
      <w:pPr>
        <w:pStyle w:val="FirstParagraph"/>
      </w:pPr>
      <m:oMathPara>
        <m:oMathParaPr>
          <m:jc m:val="center"/>
        </m:oMathParaPr>
        <m:oMath>
          <m:r>
            <m:rPr>
              <m:nor/>
              <m:sty m:val="p"/>
            </m:rPr>
            <m:t>Operating exposure</m:t>
          </m:r>
          <m:r>
            <m:rPr>
              <m:sty m:val="p"/>
            </m:rPr>
            <m:t>=</m:t>
          </m:r>
          <m:r>
            <m:rPr>
              <m:nor/>
              <m:sty m:val="p"/>
            </m:rPr>
            <m:t>expected but not yet contracted future cash flows</m:t>
          </m:r>
        </m:oMath>
      </m:oMathPara>
    </w:p>
    <w:p>
      <w:pPr>
        <w:pStyle w:val="FirstParagraph"/>
      </w:pPr>
      <w:r>
        <w:t xml:space="preserve">That distinction appears repeatedly in both the chapter and the test bank. If a cash flow is already contractually fixed in foreign currency, we are normally discussing</w:t>
      </w:r>
      <w:r>
        <w:t xml:space="preserve"> </w:t>
      </w:r>
      <w:r>
        <w:rPr>
          <w:b/>
          <w:bCs/>
        </w:rPr>
        <w:t xml:space="preserve">transaction exposure</w:t>
      </w:r>
      <w:r>
        <w:t xml:space="preserve">. If the issue is future competitiveness and future sales/cost structure, we are discussing</w:t>
      </w:r>
      <w:r>
        <w:t xml:space="preserve"> </w:t>
      </w:r>
      <w:r>
        <w:rPr>
          <w:b/>
          <w:bCs/>
        </w:rPr>
        <w:t xml:space="preserve">operating exposure</w:t>
      </w:r>
      <w:r>
        <w:t xml:space="preserve">.</w:t>
      </w:r>
    </w:p>
    <w:bookmarkEnd w:id="24"/>
    <w:bookmarkEnd w:id="25"/>
    <w:bookmarkStart w:id="30" w:name="why-hedge"/>
    <w:p>
      <w:pPr>
        <w:pStyle w:val="Heading2"/>
      </w:pPr>
      <w:r>
        <w:t xml:space="preserve">10.2 Why Hedge?</w:t>
      </w:r>
    </w:p>
    <w:p>
      <w:pPr>
        <w:pStyle w:val="FirstParagraph"/>
      </w:pPr>
      <w:r>
        <w:t xml:space="preserve">Firms that operate internationally confront a wide variety of financial price risks. Exchange rates move. Interest rates move. Commodity prices move. Because of these changes, expected cash flows become more uncertain.</w:t>
      </w:r>
    </w:p>
    <w:p>
      <w:pPr>
        <w:pStyle w:val="BodyText"/>
      </w:pPr>
      <w:r>
        <w:t xml:space="preserve">The essential argument for hedging is not that hedging magically creates wealth. The essential argument is that hedging may</w:t>
      </w:r>
      <w:r>
        <w:t xml:space="preserve"> </w:t>
      </w:r>
      <w:r>
        <w:rPr>
          <w:b/>
          <w:bCs/>
        </w:rPr>
        <w:t xml:space="preserve">reduce the variability of cash flows and earnings</w:t>
      </w:r>
      <w:r>
        <w:t xml:space="preserve">, thereby making the firm easier to plan, finance, and manage.</w:t>
      </w:r>
    </w:p>
    <w:bookmarkStart w:id="26"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is a position—an asset, liability, contract, or derivative—whose value moves in the opposite direction of an existing exposure.</w:t>
      </w:r>
    </w:p>
    <w:p>
      <w:pPr>
        <w:pStyle w:val="BodyText"/>
      </w:pPr>
      <w:r>
        <w:t xml:space="preserve">If a firm already owns an exposed position, the hedge is designed so that:</w:t>
      </w:r>
    </w:p>
    <w:p>
      <w:pPr>
        <w:pStyle w:val="Compact"/>
        <w:numPr>
          <w:ilvl w:val="0"/>
          <w:numId w:val="1008"/>
        </w:numPr>
      </w:pPr>
      <w:r>
        <w:t xml:space="preserve">when the exposure loses value, the hedge gains value; and</w:t>
      </w:r>
    </w:p>
    <w:p>
      <w:pPr>
        <w:pStyle w:val="Compact"/>
        <w:numPr>
          <w:ilvl w:val="0"/>
          <w:numId w:val="1008"/>
        </w:numPr>
      </w:pPr>
      <w:r>
        <w:t xml:space="preserve">when the exposure gains value, the hedge loses value or limits additional gains.</w:t>
      </w:r>
    </w:p>
    <w:p>
      <w:pPr>
        <w:pStyle w:val="FirstParagraph"/>
      </w:pPr>
      <w:r>
        <w:t xml:space="preserve">In symbolic form,</w:t>
      </w:r>
    </w:p>
    <w:p>
      <w:pPr>
        <w:pStyle w:val="BodyText"/>
      </w:pPr>
      <m:oMathPara>
        <m:oMathParaPr>
          <m:jc m:val="center"/>
        </m:oMathParaPr>
        <m:oMath>
          <m:r>
            <m:t>Δ</m:t>
          </m:r>
          <m:sSub>
            <m:e>
              <m:r>
                <m:t>V</m:t>
              </m:r>
            </m:e>
            <m:sub>
              <m:r>
                <m:rPr>
                  <m:nor/>
                  <m:sty m:val="p"/>
                </m:rPr>
                <m:t>exposure</m:t>
              </m:r>
            </m:sub>
          </m:sSub>
          <m:r>
            <m:rPr>
              <m:sty m:val="p"/>
            </m:rPr>
            <m:t>+</m:t>
          </m:r>
          <m:r>
            <m:t>Δ</m:t>
          </m:r>
          <m:sSub>
            <m:e>
              <m:r>
                <m:t>V</m:t>
              </m:r>
            </m:e>
            <m:sub>
              <m:r>
                <m:rPr>
                  <m:nor/>
                  <m:sty m:val="p"/>
                </m:rPr>
                <m:t>hedge</m:t>
              </m:r>
            </m:sub>
          </m:sSub>
          <m:r>
            <m:rPr>
              <m:sty m:val="p"/>
            </m:rPr>
            <m:t>≈</m:t>
          </m:r>
          <m:r>
            <m:t>0</m:t>
          </m:r>
        </m:oMath>
      </m:oMathPara>
    </w:p>
    <w:p>
      <w:pPr>
        <w:pStyle w:val="FirstParagraph"/>
      </w:pPr>
      <w:r>
        <w:t xml:space="preserve">A hedge therefore protects against loss, but it also limits upside gain. That is why hedging must be distinguished from</w:t>
      </w:r>
      <w:r>
        <w:t xml:space="preserve"> </w:t>
      </w:r>
      <w:r>
        <w:rPr>
          <w:b/>
          <w:bCs/>
        </w:rPr>
        <w:t xml:space="preserve">speculation</w:t>
      </w:r>
      <w:r>
        <w:t xml:space="preserve">.</w:t>
      </w:r>
    </w:p>
    <w:p>
      <w:pPr>
        <w:pStyle w:val="Compact"/>
        <w:numPr>
          <w:ilvl w:val="0"/>
          <w:numId w:val="1009"/>
        </w:numPr>
      </w:pPr>
      <w:r>
        <w:rPr>
          <w:b/>
          <w:bCs/>
        </w:rPr>
        <w:t xml:space="preserve">Hedging</w:t>
      </w:r>
      <w:r>
        <w:t xml:space="preserve"> </w:t>
      </w:r>
      <w:r>
        <w:t xml:space="preserve">offsets an existing exposure.</w:t>
      </w:r>
    </w:p>
    <w:p>
      <w:pPr>
        <w:pStyle w:val="Compact"/>
        <w:numPr>
          <w:ilvl w:val="0"/>
          <w:numId w:val="1009"/>
        </w:numPr>
      </w:pPr>
      <w:r>
        <w:rPr>
          <w:b/>
          <w:bCs/>
        </w:rPr>
        <w:t xml:space="preserve">Speculation</w:t>
      </w:r>
      <w:r>
        <w:t xml:space="preserve"> </w:t>
      </w:r>
      <w:r>
        <w:t xml:space="preserve">creates or enlarges an exposure in order to profit from a view on market direction.</w:t>
      </w:r>
    </w:p>
    <w:p>
      <w:pPr>
        <w:pStyle w:val="FirstParagraph"/>
      </w:pPr>
      <w:r>
        <w:t xml:space="preserve">If a U.S. exporter will receive pounds in 90 days and sells pounds forward today, that is hedging. If the same exporter has no GBP receivable but still sells pounds forward because management thinks the pound will fall, that is speculation.</w:t>
      </w:r>
    </w:p>
    <w:p>
      <w:pPr>
        <w:pStyle w:val="BodyText"/>
      </w:pPr>
      <w:r>
        <w:t xml:space="preserve">According to finance theory, the value of the firm is the present value of all expected future cash flows:</w:t>
      </w:r>
    </w:p>
    <w:p>
      <w:pPr>
        <w:pStyle w:val="BodyText"/>
      </w:pPr>
      <m:oMathPara>
        <m:oMathParaPr>
          <m:jc m:val="center"/>
        </m:oMathParaPr>
        <m:oMath>
          <m:sSub>
            <m:e>
              <m:r>
                <m:t>V</m:t>
              </m:r>
            </m:e>
            <m:sub>
              <m:r>
                <m:rPr>
                  <m:nor/>
                  <m:sty m:val="p"/>
                </m:rPr>
                <m:t>firm</m:t>
              </m:r>
            </m:sub>
          </m:sSub>
          <m:r>
            <m:rPr>
              <m:sty m:val="p"/>
            </m:rPr>
            <m:t>=</m:t>
          </m:r>
          <m:nary>
            <m:naryPr>
              <m:chr m:val="∑"/>
              <m:limLoc m:val="undOvr"/>
              <m:subHide m:val="off"/>
              <m:supHide m:val="off"/>
            </m:naryPr>
            <m:sub>
              <m:r>
                <m:t>t</m:t>
              </m:r>
              <m:r>
                <m:rPr>
                  <m:sty m:val="p"/>
                </m:rPr>
                <m:t>=</m:t>
              </m:r>
              <m:r>
                <m:t>1</m:t>
              </m:r>
            </m:sub>
            <m:sup>
              <m:r>
                <m:rPr>
                  <m:sty m:val="p"/>
                </m:rPr>
                <m:t>∞</m:t>
              </m:r>
            </m:sup>
            <m:e>
              <m:f>
                <m:fPr>
                  <m:type m:val="bar"/>
                </m:fPr>
                <m:num>
                  <m:r>
                    <m:t>E</m:t>
                  </m:r>
                  <m:d>
                    <m:dPr>
                      <m:begChr m:val="("/>
                      <m:sepChr m:val=""/>
                      <m:endChr m:val=")"/>
                      <m:grow/>
                    </m:dPr>
                    <m:e>
                      <m:r>
                        <m:t>C</m:t>
                      </m:r>
                      <m:sSub>
                        <m:e>
                          <m:r>
                            <m:t>F</m:t>
                          </m:r>
                        </m:e>
                        <m:sub>
                          <m:r>
                            <m:t>t</m:t>
                          </m:r>
                        </m:sub>
                      </m:sSub>
                    </m:e>
                  </m:d>
                </m:num>
                <m:den>
                  <m:sSup>
                    <m:e>
                      <m:d>
                        <m:dPr>
                          <m:begChr m:val="("/>
                          <m:sepChr m:val=""/>
                          <m:endChr m:val=")"/>
                          <m:grow/>
                        </m:dPr>
                        <m:e>
                          <m:r>
                            <m:t>1</m:t>
                          </m:r>
                          <m:r>
                            <m:rPr>
                              <m:sty m:val="p"/>
                            </m:rPr>
                            <m:t>+</m:t>
                          </m:r>
                          <m:r>
                            <m:t>k</m:t>
                          </m:r>
                        </m:e>
                      </m:d>
                    </m:e>
                    <m:sup>
                      <m:r>
                        <m:t>t</m:t>
                      </m:r>
                    </m:sup>
                  </m:sSup>
                </m:den>
              </m:f>
            </m:e>
          </m:nary>
        </m:oMath>
      </m:oMathPara>
    </w:p>
    <w:p>
      <w:pPr>
        <w:pStyle w:val="FirstParagraph"/>
      </w:pPr>
      <w:r>
        <w:t xml:space="preserve">Hedging does not normally increase the expected cash flow itself. Instead, it reduces the</w:t>
      </w:r>
      <w:r>
        <w:t xml:space="preserve"> </w:t>
      </w:r>
      <w:r>
        <w:rPr>
          <w:b/>
          <w:bCs/>
        </w:rPr>
        <w:t xml:space="preserve">variance</w:t>
      </w:r>
      <w:r>
        <w:t xml:space="preserve"> </w:t>
      </w:r>
      <w:r>
        <w:t xml:space="preserve">around that expectation. Graphically, the distribution of possible cash flows becomes narrower.</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bookmarkEnd w:id="26"/>
    <w:bookmarkStart w:id="27"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7"/>
    <w:bookmarkStart w:id="28"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p>
      <w:pPr>
        <w:pStyle w:val="BodyText"/>
      </w:pPr>
      <w:r>
        <w:rPr>
          <w:b/>
          <w:bCs/>
        </w:rPr>
        <w:t xml:space="preserve">5. Hedging can support earnings stability.</w:t>
      </w:r>
      <w:r>
        <w:br/>
      </w:r>
      <w:r>
        <w:t xml:space="preserve">Public firms in particular often value smoother, more predictable earnings. This can matter for investor relations, budgeting, and debt covenants.</w:t>
      </w:r>
    </w:p>
    <w:bookmarkEnd w:id="28"/>
    <w:bookmarkStart w:id="29"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t xml:space="preserve">The main theoretical takeaway is important:</w:t>
      </w:r>
    </w:p>
    <w:p>
      <w:pPr>
        <w:pStyle w:val="BodyText"/>
      </w:pPr>
      <m:oMathPara>
        <m:oMathParaPr>
          <m:jc m:val="center"/>
        </m:oMathParaPr>
        <m:oMath>
          <m:r>
            <m:rPr>
              <m:nor/>
              <m:sty m:val="p"/>
            </m:rPr>
            <m:t>Hedging reduces risk, but reducing risk is not the same thing as adding return.</m:t>
          </m:r>
        </m:oMath>
      </m:oMathPara>
    </w:p>
    <w:p>
      <w:pPr>
        <w:pStyle w:val="FirstParagraph"/>
      </w:pPr>
      <w:r>
        <w:t xml:space="preserve">A hedge adds value only if the benefits of lower volatility, lower distress cost, better planning, or better market access are large enough to exceed the cost of the hedge.</w:t>
      </w:r>
    </w:p>
    <w:bookmarkEnd w:id="29"/>
    <w:bookmarkEnd w:id="30"/>
    <w:bookmarkStart w:id="35"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2"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1" w:name="the-life-span-of-transaction-exposure"/>
    <w:p>
      <w:pPr>
        <w:pStyle w:val="Heading4"/>
      </w:pPr>
      <w:r>
        <w:t xml:space="preserve">10.3.1.1 The life span of transaction exposure</w:t>
      </w:r>
    </w:p>
    <w:p>
      <w:pPr>
        <w:pStyle w:val="FirstParagraph"/>
      </w:pPr>
      <w:r>
        <w:t xml:space="preserve">The textbook carefully decomposes the life of a trade transaction into three stages: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Exposure Name</w:t>
            </w:r>
          </w:p>
        </w:tc>
      </w:tr>
      <w:tr>
        <w:tc>
          <w:tcPr/>
          <w:p>
            <w:pPr>
              <w:pStyle w:val="Compact"/>
            </w:pPr>
            <w:r>
              <w:t xml:space="preserve">Seller quotes price</w:t>
            </w:r>
          </w:p>
        </w:tc>
        <w:tc>
          <w:tcPr/>
          <w:p>
            <w:pPr>
              <w:pStyle w:val="Compact"/>
            </w:pPr>
            <w:r>
              <w:t xml:space="preserve">Time between quoting and actual order</w:t>
            </w:r>
          </w:p>
        </w:tc>
        <w:tc>
          <w:tcPr/>
          <w:p>
            <w:pPr>
              <w:pStyle w:val="Compact"/>
            </w:pPr>
            <w:r>
              <w:rPr>
                <w:b/>
                <w:bCs/>
              </w:rPr>
              <w:t xml:space="preserve">Quotation exposure</w:t>
            </w:r>
          </w:p>
        </w:tc>
      </w:tr>
      <w:tr>
        <w:tc>
          <w:tcPr/>
          <w:p>
            <w:pPr>
              <w:pStyle w:val="Compact"/>
            </w:pPr>
            <w:r>
              <w:t xml:space="preserve">Buyer places order; seller has not yet shipped</w:t>
            </w:r>
          </w:p>
        </w:tc>
        <w:tc>
          <w:tcPr/>
          <w:p>
            <w:pPr>
              <w:pStyle w:val="Compact"/>
            </w:pPr>
            <w:r>
              <w:t xml:space="preserve">Time between order and delivery/billing</w:t>
            </w:r>
          </w:p>
        </w:tc>
        <w:tc>
          <w:tcPr/>
          <w:p>
            <w:pPr>
              <w:pStyle w:val="Compact"/>
            </w:pPr>
            <w:r>
              <w:rPr>
                <w:b/>
                <w:bCs/>
              </w:rPr>
              <w:t xml:space="preserve">Backlog exposure</w:t>
            </w:r>
          </w:p>
        </w:tc>
      </w:tr>
      <w:tr>
        <w:tc>
          <w:tcPr/>
          <w:p>
            <w:pPr>
              <w:pStyle w:val="Compact"/>
            </w:pPr>
            <w:r>
              <w:t xml:space="preserve">Goods shipped and receivable created</w:t>
            </w:r>
          </w:p>
        </w:tc>
        <w:tc>
          <w:tcPr/>
          <w:p>
            <w:pPr>
              <w:pStyle w:val="Compact"/>
            </w:pPr>
            <w:r>
              <w:t xml:space="preserve">Time between billing and cash settlement</w:t>
            </w:r>
          </w:p>
        </w:tc>
        <w:tc>
          <w:tcPr/>
          <w:p>
            <w:pPr>
              <w:pStyle w:val="Compact"/>
            </w:pPr>
            <w:r>
              <w:rPr>
                <w:b/>
                <w:bCs/>
              </w:rPr>
              <w:t xml:space="preserve">Billing exposure</w:t>
            </w:r>
          </w:p>
        </w:tc>
      </w:tr>
    </w:tbl>
    <w:p>
      <w:pPr>
        <w:pStyle w:val="BodyText"/>
      </w:pPr>
      <w:r>
        <w:t xml:space="preserve">This is an excellent exam concept because it reinforces that exposure may begin</w:t>
      </w:r>
      <w:r>
        <w:t xml:space="preserve"> </w:t>
      </w:r>
      <w:r>
        <w:rPr>
          <w:b/>
          <w:bCs/>
        </w:rPr>
        <w:t xml:space="preserve">before</w:t>
      </w:r>
      <w:r>
        <w:t xml:space="preserve"> </w:t>
      </w:r>
      <w:r>
        <w:t xml:space="preserve">formal settlement and may, in a broader managerial sense, begin even before the receivable is booked.</w:t>
      </w:r>
    </w:p>
    <w:p>
      <w:pPr>
        <w:pStyle w:val="BodyText"/>
      </w:pPr>
      <w:r>
        <w:t xml:space="preserve">A practical timeline is:</w:t>
      </w:r>
    </w:p>
    <w:p>
      <w:pPr>
        <w:pStyle w:val="BodyText"/>
      </w:pPr>
      <m:oMathPara>
        <m:oMathParaPr>
          <m:jc m:val="center"/>
        </m:oMathParaPr>
        <m:oMath>
          <m:sSub>
            <m:e>
              <m:r>
                <m:t>t</m:t>
              </m:r>
            </m:e>
            <m:sub>
              <m:r>
                <m:t>1</m:t>
              </m:r>
            </m:sub>
          </m:sSub>
          <m:r>
            <m:rPr>
              <m:sty m:val="p"/>
            </m:rPr>
            <m:t>→</m:t>
          </m:r>
          <m:sSub>
            <m:e>
              <m:r>
                <m:t>t</m:t>
              </m:r>
            </m:e>
            <m:sub>
              <m:r>
                <m:t>2</m:t>
              </m:r>
            </m:sub>
          </m:sSub>
          <m:r>
            <m:rPr>
              <m:sty m:val="p"/>
            </m:rPr>
            <m:t>→</m:t>
          </m:r>
          <m:sSub>
            <m:e>
              <m:r>
                <m:t>t</m:t>
              </m:r>
            </m:e>
            <m:sub>
              <m:r>
                <m:t>3</m:t>
              </m:r>
            </m:sub>
          </m:sSub>
          <m:r>
            <m:rPr>
              <m:sty m:val="p"/>
            </m:rPr>
            <m:t>→</m:t>
          </m:r>
          <m:sSub>
            <m:e>
              <m:r>
                <m:t>t</m:t>
              </m:r>
            </m:e>
            <m:sub>
              <m:r>
                <m:t>4</m:t>
              </m:r>
            </m:sub>
          </m:sSub>
        </m:oMath>
      </m:oMathPara>
    </w:p>
    <w:p>
      <w:pPr>
        <w:pStyle w:val="FirstParagraph"/>
      </w:pPr>
      <w:r>
        <w:t xml:space="preserve">where:</w:t>
      </w:r>
    </w:p>
    <w:p>
      <w:pPr>
        <w:pStyle w:val="Compact"/>
        <w:numPr>
          <w:ilvl w:val="0"/>
          <w:numId w:val="1012"/>
        </w:numPr>
      </w:pPr>
      <w:r>
        <w:t xml:space="preserve">at</w:t>
      </w:r>
    </w:p>
    <w:p>
      <w:pPr>
        <w:pStyle w:val="Compact"/>
      </w:pPr>
      <m:oMathPara>
        <m:oMathParaPr>
          <m:jc m:val="center"/>
        </m:oMathParaPr>
        <m:oMath>
          <m:sSub>
            <m:e>
              <m:r>
                <m:t>t</m:t>
              </m:r>
            </m:e>
            <m:sub>
              <m:r>
                <m:t>1</m:t>
              </m:r>
            </m:sub>
          </m:sSub>
        </m:oMath>
      </m:oMathPara>
    </w:p>
    <w:p>
      <w:pPr>
        <w:pStyle w:val="Compact"/>
        <w:numPr>
          <w:ilvl w:val="0"/>
          <w:numId w:val="1000"/>
        </w:numPr>
      </w:pPr>
      <w:r>
        <w:t xml:space="preserve">the seller quotes a foreign-currency price,</w:t>
      </w:r>
    </w:p>
    <w:p>
      <w:pPr>
        <w:pStyle w:val="Compact"/>
        <w:numPr>
          <w:ilvl w:val="0"/>
          <w:numId w:val="1012"/>
        </w:numPr>
      </w:pPr>
      <w:r>
        <w:t xml:space="preserve">at</w:t>
      </w:r>
    </w:p>
    <w:p>
      <w:pPr>
        <w:pStyle w:val="Compact"/>
      </w:pPr>
      <m:oMathPara>
        <m:oMathParaPr>
          <m:jc m:val="center"/>
        </m:oMathParaPr>
        <m:oMath>
          <m:sSub>
            <m:e>
              <m:r>
                <m:t>t</m:t>
              </m:r>
            </m:e>
            <m:sub>
              <m:r>
                <m:t>2</m:t>
              </m:r>
            </m:sub>
          </m:sSub>
        </m:oMath>
      </m:oMathPara>
    </w:p>
    <w:p>
      <w:pPr>
        <w:pStyle w:val="Compact"/>
        <w:numPr>
          <w:ilvl w:val="0"/>
          <w:numId w:val="1000"/>
        </w:numPr>
      </w:pPr>
      <w:r>
        <w:t xml:space="preserve">the buyer places the order,</w:t>
      </w:r>
    </w:p>
    <w:p>
      <w:pPr>
        <w:pStyle w:val="Compact"/>
        <w:numPr>
          <w:ilvl w:val="0"/>
          <w:numId w:val="1012"/>
        </w:numPr>
      </w:pPr>
      <w:r>
        <w:t xml:space="preserve">at</w:t>
      </w:r>
    </w:p>
    <w:p>
      <w:pPr>
        <w:pStyle w:val="Compact"/>
      </w:pPr>
      <m:oMathPara>
        <m:oMathParaPr>
          <m:jc m:val="center"/>
        </m:oMathParaPr>
        <m:oMath>
          <m:sSub>
            <m:e>
              <m:r>
                <m:t>t</m:t>
              </m:r>
            </m:e>
            <m:sub>
              <m:r>
                <m:t>3</m:t>
              </m:r>
            </m:sub>
          </m:sSub>
        </m:oMath>
      </m:oMathPara>
    </w:p>
    <w:p>
      <w:pPr>
        <w:pStyle w:val="Compact"/>
        <w:numPr>
          <w:ilvl w:val="0"/>
          <w:numId w:val="1000"/>
        </w:numPr>
      </w:pPr>
      <w:r>
        <w:t xml:space="preserve">the seller ships and bills the buyer, and</w:t>
      </w:r>
    </w:p>
    <w:p>
      <w:pPr>
        <w:pStyle w:val="Compact"/>
        <w:numPr>
          <w:ilvl w:val="0"/>
          <w:numId w:val="1012"/>
        </w:numPr>
      </w:pPr>
      <w:r>
        <w:t xml:space="preserve">at</w:t>
      </w:r>
    </w:p>
    <w:p>
      <w:pPr>
        <w:pStyle w:val="Compact"/>
      </w:pPr>
      <m:oMathPara>
        <m:oMathParaPr>
          <m:jc m:val="center"/>
        </m:oMathParaPr>
        <m:oMath>
          <m:sSub>
            <m:e>
              <m:r>
                <m:t>t</m:t>
              </m:r>
            </m:e>
            <m:sub>
              <m:r>
                <m:t>4</m:t>
              </m:r>
            </m:sub>
          </m:sSub>
        </m:oMath>
      </m:oMathPara>
    </w:p>
    <w:p>
      <w:pPr>
        <w:pStyle w:val="Compact"/>
        <w:numPr>
          <w:ilvl w:val="0"/>
          <w:numId w:val="1000"/>
        </w:numPr>
      </w:pPr>
      <w:r>
        <w:t xml:space="preserve">the buyer pays.</w:t>
      </w:r>
    </w:p>
    <w:p>
      <w:pPr>
        <w:pStyle w:val="FirstParagraph"/>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1"/>
    <w:bookmarkEnd w:id="32"/>
    <w:bookmarkStart w:id="33"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3"/>
    <w:bookmarkStart w:id="34"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 the hedge may remain and become its own problem unless it is offset, reversed, or restructured.</w:t>
      </w:r>
    </w:p>
    <w:bookmarkEnd w:id="34"/>
    <w:bookmarkEnd w:id="35"/>
    <w:bookmarkStart w:id="52"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3"/>
        </w:numPr>
      </w:pPr>
      <w:r>
        <w:t xml:space="preserve">leaving the exposure</w:t>
      </w:r>
      <w:r>
        <w:t xml:space="preserve"> </w:t>
      </w:r>
      <w:r>
        <w:rPr>
          <w:b/>
          <w:bCs/>
        </w:rPr>
        <w:t xml:space="preserve">unhedged</w:t>
      </w:r>
      <w:r>
        <w:t xml:space="preserve">,</w:t>
      </w:r>
    </w:p>
    <w:p>
      <w:pPr>
        <w:pStyle w:val="Compact"/>
        <w:numPr>
          <w:ilvl w:val="0"/>
          <w:numId w:val="1013"/>
        </w:numPr>
      </w:pPr>
      <w:r>
        <w:t xml:space="preserve">using a</w:t>
      </w:r>
      <w:r>
        <w:t xml:space="preserve"> </w:t>
      </w:r>
      <w:r>
        <w:rPr>
          <w:b/>
          <w:bCs/>
        </w:rPr>
        <w:t xml:space="preserve">forward hedge</w:t>
      </w:r>
      <w:r>
        <w:t xml:space="preserve">,</w:t>
      </w:r>
    </w:p>
    <w:p>
      <w:pPr>
        <w:pStyle w:val="Compact"/>
        <w:numPr>
          <w:ilvl w:val="0"/>
          <w:numId w:val="1013"/>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3"/>
        </w:numPr>
      </w:pPr>
      <w:r>
        <w:t xml:space="preserve">using an</w:t>
      </w:r>
      <w:r>
        <w:t xml:space="preserve"> </w:t>
      </w:r>
      <w:r>
        <w:rPr>
          <w:b/>
          <w:bCs/>
        </w:rPr>
        <w:t xml:space="preserve">options market hedge</w:t>
      </w:r>
      <w:r>
        <w:t xml:space="preserve">, or</w:t>
      </w:r>
    </w:p>
    <w:p>
      <w:pPr>
        <w:pStyle w:val="Compact"/>
        <w:numPr>
          <w:ilvl w:val="0"/>
          <w:numId w:val="1013"/>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6"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w:t>
      </w:r>
    </w:p>
    <w:bookmarkEnd w:id="36"/>
    <w:bookmarkStart w:id="37" w:name="unhedged-position"/>
    <w:p>
      <w:pPr>
        <w:pStyle w:val="Heading3"/>
      </w:pPr>
      <w:r>
        <w:t xml:space="preserve">10.4.2 Unhedged Position</w:t>
      </w:r>
    </w:p>
    <w:p>
      <w:pPr>
        <w:pStyle w:val="FirstParagraph"/>
      </w:pPr>
      <w:r>
        <w:t xml:space="preserve">The unhedged strategy is the simplest:</w:t>
      </w:r>
    </w:p>
    <w:p>
      <w:pPr>
        <w:pStyle w:val="Compact"/>
        <w:numPr>
          <w:ilvl w:val="0"/>
          <w:numId w:val="1014"/>
        </w:numPr>
      </w:pPr>
      <w:r>
        <w:t xml:space="preserve">do nothing today,</w:t>
      </w:r>
    </w:p>
    <w:p>
      <w:pPr>
        <w:pStyle w:val="Compact"/>
        <w:numPr>
          <w:ilvl w:val="0"/>
          <w:numId w:val="1014"/>
        </w:numPr>
      </w:pPr>
      <w:r>
        <w:t xml:space="preserve">receive pounds in 90 days,</w:t>
      </w:r>
    </w:p>
    <w:p>
      <w:pPr>
        <w:pStyle w:val="Compact"/>
        <w:numPr>
          <w:ilvl w:val="0"/>
          <w:numId w:val="1014"/>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w:t>
      </w:r>
    </w:p>
    <w:p>
      <w:pPr>
        <w:pStyle w:val="BodyText"/>
      </w:pPr>
      <w:r>
        <w:t xml:space="preserve">The appeal of remaining unhedged is upside participation. The weakness is obvious: full downside exposure remains.</w:t>
      </w:r>
    </w:p>
    <w:bookmarkEnd w:id="37"/>
    <w:bookmarkStart w:id="38"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relative to the booking date. But notice what it gains in exchange: certainty.</w:t>
      </w:r>
    </w:p>
    <w:p>
      <w:pPr>
        <w:pStyle w:val="BodyText"/>
      </w:pPr>
      <w:r>
        <w:t xml:space="preserve">A fully matched forward hedge is sometimes called:</w:t>
      </w:r>
    </w:p>
    <w:p>
      <w:pPr>
        <w:pStyle w:val="Compact"/>
        <w:numPr>
          <w:ilvl w:val="0"/>
          <w:numId w:val="1015"/>
        </w:numPr>
      </w:pPr>
      <w:r>
        <w:rPr>
          <w:b/>
          <w:bCs/>
        </w:rPr>
        <w:t xml:space="preserve">covered</w:t>
      </w:r>
      <w:r>
        <w:t xml:space="preserve">,</w:t>
      </w:r>
    </w:p>
    <w:p>
      <w:pPr>
        <w:pStyle w:val="Compact"/>
        <w:numPr>
          <w:ilvl w:val="0"/>
          <w:numId w:val="1015"/>
        </w:numPr>
      </w:pPr>
      <w:r>
        <w:rPr>
          <w:b/>
          <w:bCs/>
        </w:rPr>
        <w:t xml:space="preserve">perfect</w:t>
      </w:r>
      <w:r>
        <w:t xml:space="preserve">, or</w:t>
      </w:r>
    </w:p>
    <w:p>
      <w:pPr>
        <w:pStyle w:val="Compact"/>
        <w:numPr>
          <w:ilvl w:val="0"/>
          <w:numId w:val="1015"/>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38"/>
    <w:bookmarkStart w:id="39"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6"/>
        </w:numPr>
      </w:pPr>
      <w:r>
        <w:rPr>
          <w:b/>
          <w:bCs/>
        </w:rPr>
        <w:t xml:space="preserve">borrows the foreign currency today</w:t>
      </w:r>
      <w:r>
        <w:t xml:space="preserve">,</w:t>
      </w:r>
    </w:p>
    <w:p>
      <w:pPr>
        <w:pStyle w:val="Compact"/>
        <w:numPr>
          <w:ilvl w:val="0"/>
          <w:numId w:val="1016"/>
        </w:numPr>
      </w:pPr>
      <w:r>
        <w:rPr>
          <w:b/>
          <w:bCs/>
        </w:rPr>
        <w:t xml:space="preserve">converts it into home currency at the spot rate</w:t>
      </w:r>
      <w:r>
        <w:t xml:space="preserve">, and</w:t>
      </w:r>
    </w:p>
    <w:p>
      <w:pPr>
        <w:pStyle w:val="Compact"/>
        <w:numPr>
          <w:ilvl w:val="0"/>
          <w:numId w:val="1016"/>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39"/>
    <w:bookmarkStart w:id="41"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0" w:name="break-even-reinvestment-rate"/>
    <w:p>
      <w:pPr>
        <w:pStyle w:val="Heading4"/>
      </w:pPr>
      <w:r>
        <w:t xml:space="preserve">10.4.5.1 Break-even reinvestment rate</w:t>
      </w:r>
    </w:p>
    <w:p>
      <w:pPr>
        <w:pStyle w:val="FirstParagraph"/>
      </w:pPr>
      <w:r>
        <w:t xml:space="preserve">The text also calculates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7"/>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7"/>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0"/>
    <w:bookmarkEnd w:id="41"/>
    <w:bookmarkStart w:id="44"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2"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bookmarkEnd w:id="42"/>
    <w:bookmarkStart w:id="43"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t xml:space="preserve">That floor is lower than the certainty offered by the forward or money market hedge in this example, but the option preserves upside beyond the strike.</w:t>
      </w:r>
    </w:p>
    <w:bookmarkEnd w:id="43"/>
    <w:bookmarkEnd w:id="44"/>
    <w:bookmarkStart w:id="45"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8"/>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8"/>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appear repeatedly in this chapter and in the test bank:</w:t>
      </w:r>
    </w:p>
    <w:p>
      <w:pPr>
        <w:pStyle w:val="Compact"/>
        <w:numPr>
          <w:ilvl w:val="0"/>
          <w:numId w:val="1019"/>
        </w:numPr>
      </w:pPr>
      <w:r>
        <w:rPr>
          <w:b/>
          <w:bCs/>
        </w:rPr>
        <w:t xml:space="preserve">The firm’s risk tolerance</w:t>
      </w:r>
      <w:r>
        <w:t xml:space="preserve">, and</w:t>
      </w:r>
    </w:p>
    <w:p>
      <w:pPr>
        <w:pStyle w:val="Compact"/>
        <w:numPr>
          <w:ilvl w:val="0"/>
          <w:numId w:val="1019"/>
        </w:numPr>
      </w:pPr>
      <w:r>
        <w:rPr>
          <w:b/>
          <w:bCs/>
        </w:rPr>
        <w:t xml:space="preserve">Management’s exchange-rate expectation and confidence in that view.</w:t>
      </w:r>
    </w:p>
    <w:bookmarkEnd w:id="45"/>
    <w:bookmarkStart w:id="51"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20"/>
        </w:numPr>
      </w:pPr>
      <w:r>
        <w:t xml:space="preserve">remain unhedged,</w:t>
      </w:r>
    </w:p>
    <w:p>
      <w:pPr>
        <w:pStyle w:val="Compact"/>
        <w:numPr>
          <w:ilvl w:val="0"/>
          <w:numId w:val="1020"/>
        </w:numPr>
      </w:pPr>
      <w:r>
        <w:t xml:space="preserve">buy GBP forward,</w:t>
      </w:r>
    </w:p>
    <w:p>
      <w:pPr>
        <w:pStyle w:val="Compact"/>
        <w:numPr>
          <w:ilvl w:val="0"/>
          <w:numId w:val="1020"/>
        </w:numPr>
      </w:pPr>
      <w:r>
        <w:t xml:space="preserve">use a money market hedge, or</w:t>
      </w:r>
    </w:p>
    <w:p>
      <w:pPr>
        <w:pStyle w:val="Compact"/>
        <w:numPr>
          <w:ilvl w:val="0"/>
          <w:numId w:val="1020"/>
        </w:numPr>
      </w:pPr>
      <w:r>
        <w:t xml:space="preserve">buy a call option on GBP.</w:t>
      </w:r>
    </w:p>
    <w:bookmarkStart w:id="46"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6"/>
    <w:bookmarkStart w:id="47"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the chapter’s example, lower than the expected unhedged cost based on the forecast spot rate.</w:t>
      </w:r>
    </w:p>
    <w:bookmarkEnd w:id="47"/>
    <w:bookmarkStart w:id="48"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1"/>
        </w:numPr>
      </w:pPr>
      <w:r>
        <w:t xml:space="preserve">buy pounds spot today,</w:t>
      </w:r>
    </w:p>
    <w:p>
      <w:pPr>
        <w:pStyle w:val="Compact"/>
        <w:numPr>
          <w:ilvl w:val="0"/>
          <w:numId w:val="1021"/>
        </w:numPr>
      </w:pPr>
      <w:r>
        <w:t xml:space="preserve">invest them for 90 days in a GBP account, and</w:t>
      </w:r>
    </w:p>
    <w:p>
      <w:pPr>
        <w:pStyle w:val="Compact"/>
        <w:numPr>
          <w:ilvl w:val="0"/>
          <w:numId w:val="1021"/>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48"/>
    <w:bookmarkStart w:id="49"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49"/>
    <w:bookmarkStart w:id="50"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2"/>
        </w:numPr>
      </w:pPr>
      <w:r>
        <w:t xml:space="preserve">For a</w:t>
      </w:r>
      <w:r>
        <w:t xml:space="preserve"> </w:t>
      </w:r>
      <w:r>
        <w:rPr>
          <w:b/>
          <w:bCs/>
        </w:rPr>
        <w:t xml:space="preserve">receivable</w:t>
      </w:r>
      <w:r>
        <w:t xml:space="preserve">, a firm fears depreciation of the foreign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2"/>
        </w:numPr>
      </w:pPr>
      <w:r>
        <w:t xml:space="preserve">For a</w:t>
      </w:r>
      <w:r>
        <w:t xml:space="preserve"> </w:t>
      </w:r>
      <w:r>
        <w:rPr>
          <w:b/>
          <w:bCs/>
        </w:rPr>
        <w:t xml:space="preserve">payable</w:t>
      </w:r>
      <w:r>
        <w:t xml:space="preserve">, a firm fears appreciation of the foreign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0"/>
    <w:bookmarkEnd w:id="51"/>
    <w:bookmarkEnd w:id="52"/>
    <w:bookmarkStart w:id="59" w:name="X20b1c6596c5e000c15db5007deba8dcaaf34c07"/>
    <w:p>
      <w:pPr>
        <w:pStyle w:val="Heading2"/>
      </w:pPr>
      <w:r>
        <w:t xml:space="preserve">10.5 Transaction Exposure Management in Practice</w:t>
      </w:r>
    </w:p>
    <w:p>
      <w:pPr>
        <w:pStyle w:val="FirstParagraph"/>
      </w:pPr>
      <w:r>
        <w:t xml:space="preserve">The theory of hedging is tidy.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3"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3"/>
        </w:numPr>
      </w:pPr>
      <w:r>
        <w:t xml:space="preserve">reducing exchange-rate-induced volatility in earnings,</w:t>
      </w:r>
    </w:p>
    <w:p>
      <w:pPr>
        <w:pStyle w:val="Compact"/>
        <w:numPr>
          <w:ilvl w:val="0"/>
          <w:numId w:val="1023"/>
        </w:numPr>
      </w:pPr>
      <w:r>
        <w:t xml:space="preserve">protecting budget rates and operating margins,</w:t>
      </w:r>
    </w:p>
    <w:p>
      <w:pPr>
        <w:pStyle w:val="Compact"/>
        <w:numPr>
          <w:ilvl w:val="0"/>
          <w:numId w:val="1023"/>
        </w:numPr>
      </w:pPr>
      <w:r>
        <w:t xml:space="preserve">increasing predictability of future cash flows,</w:t>
      </w:r>
    </w:p>
    <w:p>
      <w:pPr>
        <w:pStyle w:val="Compact"/>
        <w:numPr>
          <w:ilvl w:val="0"/>
          <w:numId w:val="1023"/>
        </w:numPr>
      </w:pPr>
      <w:r>
        <w:t xml:space="preserve">reducing the chance of financial distress,</w:t>
      </w:r>
    </w:p>
    <w:p>
      <w:pPr>
        <w:pStyle w:val="Compact"/>
        <w:numPr>
          <w:ilvl w:val="0"/>
          <w:numId w:val="1023"/>
        </w:numPr>
      </w:pPr>
      <w:r>
        <w:t xml:space="preserve">supporting debt servicing capacity, and</w:t>
      </w:r>
    </w:p>
    <w:p>
      <w:pPr>
        <w:pStyle w:val="Compact"/>
        <w:numPr>
          <w:ilvl w:val="0"/>
          <w:numId w:val="1023"/>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3"/>
    <w:bookmarkStart w:id="54"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4"/>
        </w:numPr>
      </w:pPr>
      <w:r>
        <w:t xml:space="preserve">an unbooked transaction may never occur,</w:t>
      </w:r>
    </w:p>
    <w:p>
      <w:pPr>
        <w:pStyle w:val="Compact"/>
        <w:numPr>
          <w:ilvl w:val="0"/>
          <w:numId w:val="1024"/>
        </w:numPr>
      </w:pPr>
      <w:r>
        <w:t xml:space="preserve">but a derivative contract certainly will exist once entered,</w:t>
      </w:r>
    </w:p>
    <w:p>
      <w:pPr>
        <w:pStyle w:val="Compact"/>
        <w:numPr>
          <w:ilvl w:val="0"/>
          <w:numId w:val="1024"/>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5"/>
        </w:numPr>
      </w:pPr>
      <w:r>
        <w:rPr>
          <w:b/>
          <w:bCs/>
        </w:rPr>
        <w:t xml:space="preserve">Contractual exposures</w:t>
      </w:r>
      <w:r>
        <w:t xml:space="preserve"> </w:t>
      </w:r>
      <w:r>
        <w:t xml:space="preserve">under ongoing commercial agreements, and</w:t>
      </w:r>
    </w:p>
    <w:p>
      <w:pPr>
        <w:pStyle w:val="Compact"/>
        <w:numPr>
          <w:ilvl w:val="0"/>
          <w:numId w:val="1025"/>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4"/>
    <w:bookmarkStart w:id="55"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6"/>
        </w:numPr>
      </w:pPr>
      <w:r>
        <w:t xml:space="preserve">short-dated exposures are more certain and more easily measured, so firms hedge more of them;</w:t>
      </w:r>
    </w:p>
    <w:p>
      <w:pPr>
        <w:pStyle w:val="Compact"/>
        <w:numPr>
          <w:ilvl w:val="0"/>
          <w:numId w:val="1026"/>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 This is a practical test-bank point.</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5"/>
    <w:bookmarkStart w:id="58"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6"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6"/>
    <w:bookmarkStart w:id="57"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7"/>
        </w:numPr>
      </w:pPr>
      <w:r>
        <w:t xml:space="preserve">They are simple.</w:t>
      </w:r>
    </w:p>
    <w:p>
      <w:pPr>
        <w:pStyle w:val="Compact"/>
        <w:numPr>
          <w:ilvl w:val="0"/>
          <w:numId w:val="1027"/>
        </w:numPr>
      </w:pPr>
      <w:r>
        <w:t xml:space="preserve">They are familiar.</w:t>
      </w:r>
    </w:p>
    <w:p>
      <w:pPr>
        <w:pStyle w:val="Compact"/>
        <w:numPr>
          <w:ilvl w:val="0"/>
          <w:numId w:val="1027"/>
        </w:numPr>
      </w:pPr>
      <w:r>
        <w:t xml:space="preserve">They require no up-front premium.</w:t>
      </w:r>
    </w:p>
    <w:p>
      <w:pPr>
        <w:pStyle w:val="Compact"/>
        <w:numPr>
          <w:ilvl w:val="0"/>
          <w:numId w:val="1027"/>
        </w:numPr>
      </w:pPr>
      <w:r>
        <w:t xml:space="preserve">They provide certainty.</w:t>
      </w:r>
    </w:p>
    <w:p>
      <w:pPr>
        <w:pStyle w:val="Compact"/>
        <w:numPr>
          <w:ilvl w:val="0"/>
          <w:numId w:val="1027"/>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The chapter gives three standard reasons:</w:t>
      </w:r>
    </w:p>
    <w:p>
      <w:pPr>
        <w:pStyle w:val="Compact"/>
        <w:numPr>
          <w:ilvl w:val="0"/>
          <w:numId w:val="1028"/>
        </w:numPr>
      </w:pPr>
      <w:r>
        <w:rPr>
          <w:b/>
          <w:bCs/>
        </w:rPr>
        <w:t xml:space="preserve">Cost</w:t>
      </w:r>
      <w:r>
        <w:t xml:space="preserve"> </w:t>
      </w:r>
      <w:r>
        <w:t xml:space="preserve">- premiums can be significant.</w:t>
      </w:r>
    </w:p>
    <w:p>
      <w:pPr>
        <w:pStyle w:val="Compact"/>
        <w:numPr>
          <w:ilvl w:val="0"/>
          <w:numId w:val="1028"/>
        </w:numPr>
      </w:pPr>
      <w:r>
        <w:rPr>
          <w:b/>
          <w:bCs/>
        </w:rPr>
        <w:t xml:space="preserve">Complexity</w:t>
      </w:r>
      <w:r>
        <w:t xml:space="preserve"> </w:t>
      </w:r>
      <w:r>
        <w:t xml:space="preserve">- many managers prefer simpler instruments.</w:t>
      </w:r>
    </w:p>
    <w:p>
      <w:pPr>
        <w:pStyle w:val="Compact"/>
        <w:numPr>
          <w:ilvl w:val="0"/>
          <w:numId w:val="1028"/>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This is especially important in classroom discussion. Students often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9"/>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9"/>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30"/>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30"/>
        </w:numPr>
      </w:pPr>
      <w:r>
        <w:t xml:space="preserve">Hedging generally</w:t>
      </w:r>
      <w:r>
        <w:t xml:space="preserve"> </w:t>
      </w:r>
      <w:r>
        <w:rPr>
          <w:b/>
          <w:bCs/>
        </w:rPr>
        <w:t xml:space="preserve">reduces risk</w:t>
      </w:r>
      <w:r>
        <w:t xml:space="preserve">, not expected value.</w:t>
      </w:r>
    </w:p>
    <w:p>
      <w:pPr>
        <w:pStyle w:val="Compact"/>
        <w:numPr>
          <w:ilvl w:val="0"/>
          <w:numId w:val="1030"/>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30"/>
        </w:numPr>
      </w:pPr>
      <w:r>
        <w:t xml:space="preserve">The major contractual hedges are</w:t>
      </w:r>
      <w:r>
        <w:t xml:space="preserve"> </w:t>
      </w:r>
      <w:r>
        <w:rPr>
          <w:b/>
          <w:bCs/>
        </w:rPr>
        <w:t xml:space="preserve">forwards, money market hedges, and options</w:t>
      </w:r>
      <w:r>
        <w:t xml:space="preserve">.</w:t>
      </w:r>
    </w:p>
    <w:p>
      <w:pPr>
        <w:pStyle w:val="Compact"/>
        <w:numPr>
          <w:ilvl w:val="0"/>
          <w:numId w:val="1030"/>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30"/>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30"/>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30"/>
        </w:numPr>
      </w:pPr>
      <w:r>
        <w:t xml:space="preserve">Real firms hedge unevenly, but</w:t>
      </w:r>
      <w:r>
        <w:t xml:space="preserve"> </w:t>
      </w:r>
      <w:r>
        <w:rPr>
          <w:b/>
          <w:bCs/>
        </w:rPr>
        <w:t xml:space="preserve">forward contracts dominate</w:t>
      </w:r>
      <w:r>
        <w:t xml:space="preserve"> </w:t>
      </w:r>
      <w:r>
        <w:t xml:space="preserve">practice.</w:t>
      </w:r>
    </w:p>
    <w:bookmarkEnd w:id="57"/>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2026-03-28T17:40:49Z</dcterms:created>
  <dcterms:modified xsi:type="dcterms:W3CDTF">2026-03-28T17:40:49Z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