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4.2 - Financial Goals, Corporate Governance, and the Market for Corporate Control</w:t>
      </w:r>
    </w:p>
    <w:p>
      <w:pPr>
        <w:pStyle w:val="Author"/>
      </w:pPr>
      <w:r>
        <w:t xml:space="preserve">Prof. Barker</w:t>
      </w:r>
    </w:p>
    <w:p>
      <w:pPr>
        <w:pStyle w:val="Date"/>
      </w:pPr>
      <w:r>
        <w:t xml:space="preserve">2026-04-22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4.2 - Financial Goals, Corporate Governance, and the Market for Corporate Control</dc:title>
  <dc:creator>Prof. Barker</dc:creator>
  <cp:keywords/>
  <dcterms:created xsi:type="dcterms:W3CDTF">2026-04-22T13:30:40Z</dcterms:created>
  <dcterms:modified xsi:type="dcterms:W3CDTF">2026-04-22T13:30:40Z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