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3.png" ContentType="image/png"/>
  <Override PartName="/word/media/rId26.jpg" ContentType="image/jpe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and-opening"/>
    <w:p>
      <w:pPr>
        <w:pStyle w:val="Heading1"/>
      </w:pPr>
      <w:r>
        <w:t xml:space="preserve">Introduction and Opening</w:t>
      </w:r>
    </w:p>
    <w:bookmarkStart w:id="20" w:name="welcome-and-context-setting"/>
    <w:p>
      <w:pPr>
        <w:pStyle w:val="Heading2"/>
      </w:pPr>
      <w:r>
        <w:t xml:space="preserve">Welcome and Context Setting</w:t>
      </w:r>
    </w:p>
    <w:p>
      <w:pPr>
        <w:pStyle w:val="FirstParagraph"/>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 multinational enterprises (MNEs) managing complex financial operations across borders.</w:t>
      </w:r>
    </w:p>
    <w:bookmarkEnd w:id="20"/>
    <w:bookmarkStart w:id="21"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1"/>
    <w:bookmarkEnd w:id="22"/>
    <w:bookmarkStart w:id="49" w:name="the-global-financial-marketplace"/>
    <w:p>
      <w:pPr>
        <w:pStyle w:val="Heading1"/>
      </w:pPr>
      <w:r>
        <w:t xml:space="preserve">1. The Global Financial Marketplace</w:t>
      </w:r>
    </w:p>
    <w:bookmarkStart w:id="23" w:name="the-players"/>
    <w:p>
      <w:pPr>
        <w:pStyle w:val="Heading2"/>
      </w:pPr>
      <w:r>
        <w:t xml:space="preserve">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3"/>
    <w:bookmarkStart w:id="30" w:name="the-playing-field"/>
    <w:p>
      <w:pPr>
        <w:pStyle w:val="Heading2"/>
      </w:pPr>
      <w:r>
        <w:t xml:space="preserve">1.2 The Playing Field</w:t>
      </w:r>
    </w:p>
    <w:p>
      <w:pPr>
        <w:pStyle w:val="FirstParagraph"/>
      </w:pPr>
      <w:r>
        <w:t xml:space="preserve">Think of the global financial marketplace as a complex ecosystem with three fundamental components:</w:t>
      </w:r>
    </w:p>
    <w:bookmarkStart w:id="24" w:name="assets-financial-assets"/>
    <w:p>
      <w:pPr>
        <w:pStyle w:val="Heading3"/>
      </w:pPr>
      <w:r>
        <w:t xml:space="preserve">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4"/>
    <w:bookmarkStart w:id="25" w:name="institutions"/>
    <w:p>
      <w:pPr>
        <w:pStyle w:val="Heading3"/>
      </w:pPr>
      <w:r>
        <w:t xml:space="preserve">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5"/>
    <w:bookmarkStart w:id="29" w:name="linkages"/>
    <w:p>
      <w:pPr>
        <w:pStyle w:val="Heading3"/>
      </w:pPr>
      <w:r>
        <w:t xml:space="preserve">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7" name="Picture"/>
            <a:graphic>
              <a:graphicData uri="http://schemas.openxmlformats.org/drawingml/2006/picture">
                <pic:pic>
                  <pic:nvPicPr>
                    <pic:cNvPr descr="../assets/images/GlobalCapitalMarkets.jpg" id="28" name="Picture"/>
                    <pic:cNvPicPr>
                      <a:picLocks noChangeArrowheads="1" noChangeAspect="1"/>
                    </pic:cNvPicPr>
                  </pic:nvPicPr>
                  <pic:blipFill>
                    <a:blip r:embed="rId26"/>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9"/>
    <w:bookmarkEnd w:id="30"/>
    <w:bookmarkStart w:id="32" w:name="the-market-for-currencies"/>
    <w:p>
      <w:pPr>
        <w:pStyle w:val="Heading2"/>
      </w:pPr>
      <w:r>
        <w:t xml:space="preserve">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31" w:name="important-terminology-discussion"/>
    <w:p>
      <w:pPr>
        <w:pStyle w:val="Heading3"/>
      </w:pPr>
      <w:r>
        <w:t xml:space="preserve">1.3.1 Important Terminology Discussion</w:t>
      </w:r>
    </w:p>
    <w:p>
      <w:pPr>
        <w:pStyle w:val="FirstParagraph"/>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31"/>
    <w:bookmarkEnd w:id="32"/>
    <w:bookmarkStart w:id="42" w:name="X59af91a7155346da865fbd489ca79edd42e4e3d"/>
    <w:p>
      <w:pPr>
        <w:pStyle w:val="Heading2"/>
      </w:pPr>
      <w:r>
        <w:t xml:space="preserve">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6" w:name="Xe2542134b5c70fb0ab56a6641416d819ff52bb4"/>
    <w:p>
      <w:pPr>
        <w:pStyle w:val="Heading3"/>
      </w:pPr>
      <w:r>
        <w:t xml:space="preserve">1.4.1 Method 1 - Foreign Currency Terms (Foreign currency per USD)</w:t>
      </w:r>
    </w:p>
    <w:p>
      <w:pPr>
        <w:pStyle w:val="CaptionedFigure"/>
      </w:pPr>
      <w:r>
        <w:drawing>
          <wp:inline>
            <wp:extent cx="4000500" cy="852269"/>
            <wp:effectExtent b="0" l="0" r="0" t="0"/>
            <wp:docPr descr="Foreign Currency Terms" title="" id="34" name="Picture"/>
            <a:graphic>
              <a:graphicData uri="http://schemas.openxmlformats.org/drawingml/2006/picture">
                <pic:pic>
                  <pic:nvPicPr>
                    <pic:cNvPr descr="../assets/images/Foreign_Currency_Terms.png" id="35" name="Picture"/>
                    <pic:cNvPicPr>
                      <a:picLocks noChangeArrowheads="1" noChangeAspect="1"/>
                    </pic:cNvPicPr>
                  </pic:nvPicPr>
                  <pic:blipFill>
                    <a:blip r:embed="rId33"/>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16.00 to 20.00)</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6"/>
    <w:bookmarkStart w:id="40" w:name="Xab3c5d51466bfa394252dc33a2d46a892ba14c5"/>
    <w:p>
      <w:pPr>
        <w:pStyle w:val="Heading3"/>
      </w:pPr>
      <w:r>
        <w:t xml:space="preserve">1.4.2 Method 2 - Home Currency Terms (USD per foreign currency)</w:t>
      </w:r>
    </w:p>
    <w:p>
      <w:pPr>
        <w:pStyle w:val="CaptionedFigure"/>
      </w:pPr>
      <w:r>
        <w:drawing>
          <wp:inline>
            <wp:extent cx="4000500" cy="847011"/>
            <wp:effectExtent b="0" l="0" r="0" t="0"/>
            <wp:docPr descr="Home Currency Terms" title="" id="38" name="Picture"/>
            <a:graphic>
              <a:graphicData uri="http://schemas.openxmlformats.org/drawingml/2006/picture">
                <pic:pic>
                  <pic:nvPicPr>
                    <pic:cNvPr descr="../assets/images/Home_Currency_Terms.png" id="39" name="Picture"/>
                    <pic:cNvPicPr>
                      <a:picLocks noChangeArrowheads="1" noChangeAspect="1"/>
                    </pic:cNvPicPr>
                  </pic:nvPicPr>
                  <pic:blipFill>
                    <a:blip r:embed="rId37"/>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(1/9.7908 = 0.10214 and 1/13.6160 = 0.07344).</w:t>
      </w:r>
    </w:p>
    <w:p>
      <w:pPr>
        <w:pStyle w:val="BodyText"/>
      </w:pPr>
      <w:r>
        <w:t xml:space="preserve">This tells us how much US $ that 1 ARG peso could buy. 1 ARG peso could buy $0.10 on 12/16/15, and only $0.07 on 12/17/15.</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40"/>
    <w:bookmarkStart w:id="41" w:name="practice-problem"/>
    <w:p>
      <w:pPr>
        <w:pStyle w:val="Heading3"/>
      </w:pPr>
      <w:r>
        <w:t xml:space="preserve">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bookmarkEnd w:id="41"/>
    <w:bookmarkEnd w:id="42"/>
    <w:bookmarkStart w:id="45" w:name="Xc273e26c5011ea91d5e9a63c9a5fa1553b00f36"/>
    <w:p>
      <w:pPr>
        <w:pStyle w:val="Heading2"/>
      </w:pPr>
      <w:r>
        <w:t xml:space="preserve">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Important:</w:t>
      </w:r>
      <w:r>
        <w:t xml:space="preserve"> </w:t>
      </w:r>
      <w:r>
        <w:t xml:space="preserve">The</w:t>
      </w:r>
      <w:r>
        <w:t xml:space="preserve"> </w:t>
      </w:r>
      <w:r>
        <w:t xml:space="preserve">“euro”</w:t>
      </w:r>
      <w:r>
        <w:t xml:space="preserve"> </w:t>
      </w:r>
      <w:r>
        <w:t xml:space="preserve">prefix has NOTHING to do with the European currency. This terminology predates the euro.</w:t>
      </w:r>
    </w:p>
    <w:bookmarkStart w:id="43" w:name="historical-origin-fascinating-backstory"/>
    <w:p>
      <w:pPr>
        <w:pStyle w:val="Heading3"/>
      </w:pPr>
      <w:r>
        <w:t xml:space="preserve">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their own currency if it is held in an foreign bank, unless the foreign entity agrees to freeze those assets as well.</w:t>
      </w:r>
    </w:p>
    <w:bookmarkEnd w:id="43"/>
    <w:bookmarkStart w:id="44" w:name="X378db5d0198303cb42721d78197833e02ce15ca"/>
    <w:p>
      <w:pPr>
        <w:pStyle w:val="Heading3"/>
      </w:pPr>
      <w:r>
        <w:t xml:space="preserve">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4"/>
    <w:bookmarkEnd w:id="45"/>
    <w:bookmarkStart w:id="48" w:name="wayback-machine"/>
    <w:p>
      <w:pPr>
        <w:pStyle w:val="Heading2"/>
      </w:pPr>
      <w:r>
        <w:t xml:space="preserve">Wayback Machine</w:t>
      </w:r>
    </w:p>
    <w:bookmarkStart w:id="46" w:name="why-or-how-do-nations-exist"/>
    <w:p>
      <w:pPr>
        <w:pStyle w:val="Heading3"/>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bookmarkEnd w:id="46"/>
    <w:bookmarkStart w:id="47" w:name="logical-structure"/>
    <w:p>
      <w:pPr>
        <w:pStyle w:val="Heading3"/>
      </w:pPr>
      <w:r>
        <w:t xml:space="preserve">1.5.3 Logical Structure</w:t>
      </w:r>
    </w:p>
    <w:p>
      <w:pPr>
        <w:pStyle w:val="FirstParagraph"/>
      </w:pPr>
      <w:r>
        <w:rPr>
          <w:b/>
          <w:bCs/>
        </w:rPr>
        <w:t xml:space="preserve">Roving Bandit</w:t>
      </w:r>
      <w:r>
        <w:t xml:space="preserve">: Anarchy → Low Investment → Low Output</w:t>
      </w:r>
    </w:p>
    <w:p>
      <w:pPr>
        <w:pStyle w:val="BodyText"/>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6"/>
        </w:numPr>
      </w:pPr>
      <w:r>
        <w:t xml:space="preserve">Property rights reduce discount rates (future matters more).</w:t>
      </w:r>
    </w:p>
    <w:p>
      <w:pPr>
        <w:pStyle w:val="Compact"/>
        <w:numPr>
          <w:ilvl w:val="0"/>
          <w:numId w:val="1016"/>
        </w:numPr>
      </w:pPr>
      <w:r>
        <w:t xml:space="preserve">Capital formation becomes possible.</w:t>
      </w:r>
    </w:p>
    <w:p>
      <w:pPr>
        <w:pStyle w:val="Compact"/>
        <w:numPr>
          <w:ilvl w:val="0"/>
          <w:numId w:val="1016"/>
        </w:numPr>
      </w:pPr>
      <w:r>
        <w:t xml:space="preserve">Financial intermediation develops because lenders expect repayment.</w:t>
      </w:r>
    </w:p>
    <w:p>
      <w:pPr>
        <w:pStyle w:val="Compact"/>
        <w:numPr>
          <w:ilvl w:val="0"/>
          <w:numId w:val="1016"/>
        </w:numPr>
      </w:pPr>
      <w:r>
        <w:t xml:space="preserve">States create courts, contract enforcement, currencies.</w:t>
      </w:r>
    </w:p>
    <w:bookmarkEnd w:id="47"/>
    <w:bookmarkEnd w:id="48"/>
    <w:bookmarkEnd w:id="49"/>
    <w:bookmarkStart w:id="61" w:name="theory-of-comparative-advantage"/>
    <w:p>
      <w:pPr>
        <w:pStyle w:val="Heading1"/>
      </w:pPr>
      <w:r>
        <w:t xml:space="preserve">2. Theory of Comparative Advantage</w:t>
      </w:r>
    </w:p>
    <w:bookmarkStart w:id="50" w:name="foundational-economic-theory"/>
    <w:p>
      <w:pPr>
        <w:pStyle w:val="Heading2"/>
      </w:pPr>
      <w:r>
        <w:t xml:space="preserve">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7"/>
        </w:numPr>
      </w:pPr>
      <w:r>
        <w:t xml:space="preserve">Trade makes people better off when preferences differ.</w:t>
      </w:r>
    </w:p>
    <w:p>
      <w:pPr>
        <w:pStyle w:val="Compact"/>
        <w:numPr>
          <w:ilvl w:val="0"/>
          <w:numId w:val="1017"/>
        </w:numPr>
      </w:pPr>
      <w:r>
        <w:t xml:space="preserve">Trade increases productivity through specialization and the division of knowledge.</w:t>
      </w:r>
    </w:p>
    <w:p>
      <w:pPr>
        <w:pStyle w:val="Compact"/>
        <w:numPr>
          <w:ilvl w:val="0"/>
          <w:numId w:val="1017"/>
        </w:numPr>
      </w:pPr>
      <w:r>
        <w:t xml:space="preserve">Trade increases productivity through comparative advantage.</w:t>
      </w:r>
    </w:p>
    <w:bookmarkEnd w:id="50"/>
    <w:bookmarkStart w:id="54" w:name="core-concepts"/>
    <w:p>
      <w:pPr>
        <w:pStyle w:val="Heading2"/>
      </w:pPr>
      <w:r>
        <w:t xml:space="preserve">2.2 Core Concepts</w:t>
      </w:r>
    </w:p>
    <w:bookmarkStart w:id="51" w:name="absolute-advantage-adam-smith"/>
    <w:p>
      <w:pPr>
        <w:pStyle w:val="Heading3"/>
      </w:pPr>
      <w:r>
        <w:t xml:space="preserve">2.2.1 Absolute Advantage (Adam Smith)</w:t>
      </w:r>
    </w:p>
    <w:p>
      <w:pPr>
        <w:pStyle w:val="Compact"/>
        <w:numPr>
          <w:ilvl w:val="0"/>
          <w:numId w:val="1018"/>
        </w:numPr>
      </w:pPr>
      <w:r>
        <w:t xml:space="preserve">A country should specialize in producing goods it can make most efficiently</w:t>
      </w:r>
    </w:p>
    <w:p>
      <w:pPr>
        <w:pStyle w:val="Compact"/>
        <w:numPr>
          <w:ilvl w:val="0"/>
          <w:numId w:val="1018"/>
        </w:numPr>
      </w:pPr>
      <w:r>
        <w:t xml:space="preserve">Trade these for goods other countries make more efficiently</w:t>
      </w:r>
    </w:p>
    <w:p>
      <w:pPr>
        <w:pStyle w:val="Compact"/>
        <w:numPr>
          <w:ilvl w:val="0"/>
          <w:numId w:val="1018"/>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19"/>
        </w:numPr>
      </w:pPr>
      <w:r>
        <w:t xml:space="preserve">economies of scale → lower average costs</w:t>
      </w:r>
    </w:p>
    <w:p>
      <w:pPr>
        <w:pStyle w:val="Compact"/>
        <w:numPr>
          <w:ilvl w:val="0"/>
          <w:numId w:val="1019"/>
        </w:numPr>
      </w:pPr>
      <w:r>
        <w:t xml:space="preserve">capital deepening</w:t>
      </w:r>
    </w:p>
    <w:p>
      <w:pPr>
        <w:pStyle w:val="Compact"/>
        <w:numPr>
          <w:ilvl w:val="0"/>
          <w:numId w:val="1019"/>
        </w:numPr>
      </w:pPr>
      <w:r>
        <w:t xml:space="preserve">technology diffusion through trade relationships</w:t>
      </w:r>
    </w:p>
    <w:p>
      <w:pPr>
        <w:pStyle w:val="FirstParagraph"/>
      </w:pPr>
      <w:r>
        <w:rPr>
          <w:b/>
          <w:bCs/>
        </w:rPr>
        <w:t xml:space="preserve">Why gains emerge:</w:t>
      </w:r>
    </w:p>
    <w:p>
      <w:pPr>
        <w:pStyle w:val="Compact"/>
        <w:numPr>
          <w:ilvl w:val="0"/>
          <w:numId w:val="1020"/>
        </w:numPr>
      </w:pPr>
      <w:r>
        <w:t xml:space="preserve">Specialize where productivity is highest relative to the alternative uses of resources.</w:t>
      </w:r>
    </w:p>
    <w:p>
      <w:pPr>
        <w:pStyle w:val="Compact"/>
        <w:numPr>
          <w:ilvl w:val="0"/>
          <w:numId w:val="1020"/>
        </w:numPr>
      </w:pPr>
      <w:r>
        <w:t xml:space="preserve">Smith’s pin factory:</w:t>
      </w:r>
    </w:p>
    <w:p>
      <w:pPr>
        <w:pStyle w:val="Compact"/>
        <w:numPr>
          <w:ilvl w:val="1"/>
          <w:numId w:val="1021"/>
        </w:numPr>
      </w:pPr>
      <w:r>
        <w:t xml:space="preserve">Specialization increases productivity because of:</w:t>
      </w:r>
    </w:p>
    <w:p>
      <w:pPr>
        <w:pStyle w:val="Compact"/>
        <w:numPr>
          <w:ilvl w:val="2"/>
          <w:numId w:val="1022"/>
        </w:numPr>
      </w:pPr>
      <w:r>
        <w:t xml:space="preserve">Learning by doing</w:t>
      </w:r>
    </w:p>
    <w:p>
      <w:pPr>
        <w:pStyle w:val="Compact"/>
        <w:numPr>
          <w:ilvl w:val="2"/>
          <w:numId w:val="1022"/>
        </w:numPr>
      </w:pPr>
      <w:r>
        <w:t xml:space="preserve">Reduced switching costs</w:t>
      </w:r>
    </w:p>
    <w:p>
      <w:pPr>
        <w:pStyle w:val="Compact"/>
        <w:numPr>
          <w:ilvl w:val="2"/>
          <w:numId w:val="1022"/>
        </w:numPr>
      </w:pPr>
      <w:r>
        <w:t xml:space="preserve">Innovation in task-specific tools</w:t>
      </w:r>
    </w:p>
    <w:p>
      <w:pPr>
        <w:pStyle w:val="FirstParagraph"/>
      </w:pPr>
      <w:r>
        <w:rPr>
          <w:b/>
          <w:bCs/>
        </w:rPr>
        <w:t xml:space="preserve">Broad example:</w:t>
      </w:r>
    </w:p>
    <w:p>
      <w:pPr>
        <w:numPr>
          <w:ilvl w:val="0"/>
          <w:numId w:val="1023"/>
        </w:numPr>
      </w:pPr>
      <w:r>
        <w:t xml:space="preserve">One worker doing everything → 10 pins/day.</w:t>
      </w:r>
    </w:p>
    <w:p>
      <w:pPr>
        <w:numPr>
          <w:ilvl w:val="0"/>
          <w:numId w:val="1023"/>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Connection to trade:</w:t>
      </w:r>
    </w:p>
    <w:p>
      <w:pPr>
        <w:pStyle w:val="Compact"/>
        <w:numPr>
          <w:ilvl w:val="0"/>
          <w:numId w:val="1024"/>
        </w:numPr>
      </w:pPr>
      <w:r>
        <w:t xml:space="preserve">Specialization requires exchange:</w:t>
      </w:r>
    </w:p>
    <w:p>
      <w:pPr>
        <w:pStyle w:val="Compact"/>
        <w:numPr>
          <w:ilvl w:val="1"/>
          <w:numId w:val="1025"/>
        </w:numPr>
      </w:pPr>
      <w:r>
        <w:t xml:space="preserve">No reason to specialize unless you can trade for what you lack.</w:t>
      </w:r>
    </w:p>
    <w:p>
      <w:pPr>
        <w:pStyle w:val="Compact"/>
        <w:numPr>
          <w:ilvl w:val="1"/>
          <w:numId w:val="1025"/>
        </w:numPr>
      </w:pPr>
      <w:r>
        <w:t xml:space="preserve">Markets expand as specialization deepens.</w:t>
      </w:r>
    </w:p>
    <w:p>
      <w:pPr>
        <w:pStyle w:val="Compact"/>
        <w:numPr>
          <w:ilvl w:val="1"/>
          <w:numId w:val="1025"/>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51"/>
    <w:bookmarkStart w:id="52" w:name="comparative-advantage-david-ricardo"/>
    <w:p>
      <w:pPr>
        <w:pStyle w:val="Heading3"/>
      </w:pPr>
      <w:r>
        <w:t xml:space="preserve">2.2.2 Comparative Advantage (David Ricardo)</w:t>
      </w:r>
    </w:p>
    <w:p>
      <w:pPr>
        <w:pStyle w:val="Compact"/>
        <w:numPr>
          <w:ilvl w:val="0"/>
          <w:numId w:val="1026"/>
        </w:numPr>
      </w:pPr>
      <w:r>
        <w:t xml:space="preserve">Even if one country has absolute advantage in producing EVERYTHING, both countries benefit from specialization</w:t>
      </w:r>
    </w:p>
    <w:p>
      <w:pPr>
        <w:pStyle w:val="Compact"/>
        <w:numPr>
          <w:ilvl w:val="0"/>
          <w:numId w:val="1026"/>
        </w:numPr>
      </w:pPr>
      <w:r>
        <w:t xml:space="preserve">Each country should specialize in what it does RELATIVELY better</w:t>
      </w:r>
    </w:p>
    <w:p>
      <w:pPr>
        <w:pStyle w:val="Compact"/>
        <w:numPr>
          <w:ilvl w:val="0"/>
          <w:numId w:val="1026"/>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7"/>
        </w:numPr>
      </w:pPr>
      <w:r>
        <w:t xml:space="preserve">This is the relative, or comparative difference between the productive abilities of countries.</w:t>
      </w:r>
    </w:p>
    <w:bookmarkEnd w:id="52"/>
    <w:bookmarkStart w:id="53" w:name="simple-example"/>
    <w:p>
      <w:pPr>
        <w:pStyle w:val="Heading3"/>
      </w:pPr>
      <w:r>
        <w:t xml:space="preserve">2.2.3 Simple Example</w:t>
      </w:r>
    </w:p>
    <w:p>
      <w:pPr>
        <w:pStyle w:val="FirstParagraph"/>
      </w:pPr>
      <w:r>
        <w:t xml:space="preserve">Imagine two countries - the US and China:</w:t>
      </w:r>
    </w:p>
    <w:p>
      <w:pPr>
        <w:pStyle w:val="Compact"/>
        <w:numPr>
          <w:ilvl w:val="0"/>
          <w:numId w:val="1028"/>
        </w:numPr>
      </w:pPr>
      <w:r>
        <w:t xml:space="preserve">US: Can produce either 100 computers OR 100 bushels of wheat with the same resources</w:t>
      </w:r>
    </w:p>
    <w:p>
      <w:pPr>
        <w:pStyle w:val="Compact"/>
        <w:numPr>
          <w:ilvl w:val="0"/>
          <w:numId w:val="1028"/>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should produce computers or wheat?</w:t>
      </w:r>
    </w:p>
    <w:bookmarkEnd w:id="53"/>
    <w:bookmarkEnd w:id="54"/>
    <w:bookmarkStart w:id="59" w:name="modern-reality-vs.-theory"/>
    <w:p>
      <w:pPr>
        <w:pStyle w:val="Heading2"/>
      </w:pPr>
      <w:r>
        <w:t xml:space="preserve">2.3 Modern Reality vs. Theory</w:t>
      </w:r>
    </w:p>
    <w:p>
      <w:pPr>
        <w:pStyle w:val="FirstParagraph"/>
      </w:pPr>
      <w:r>
        <w:t xml:space="preserve">The textbook presents important limitations to pure comparative advantage theory:</w:t>
      </w:r>
    </w:p>
    <w:bookmarkStart w:id="55" w:name="government-interference"/>
    <w:p>
      <w:pPr>
        <w:pStyle w:val="Heading3"/>
      </w:pPr>
      <w:r>
        <w:t xml:space="preserve">2.3.1 Government Interference</w:t>
      </w:r>
    </w:p>
    <w:p>
      <w:pPr>
        <w:pStyle w:val="Compact"/>
        <w:numPr>
          <w:ilvl w:val="0"/>
          <w:numId w:val="1029"/>
        </w:numPr>
      </w:pPr>
      <w:r>
        <w:t xml:space="preserve">Tariffs and quotas</w:t>
      </w:r>
    </w:p>
    <w:p>
      <w:pPr>
        <w:pStyle w:val="Compact"/>
        <w:numPr>
          <w:ilvl w:val="0"/>
          <w:numId w:val="1029"/>
        </w:numPr>
      </w:pPr>
      <w:r>
        <w:t xml:space="preserve">Subsidies to domestic industries</w:t>
      </w:r>
    </w:p>
    <w:p>
      <w:pPr>
        <w:pStyle w:val="Compact"/>
        <w:numPr>
          <w:ilvl w:val="0"/>
          <w:numId w:val="1029"/>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5"/>
    <w:bookmarkStart w:id="56" w:name="factor-mobility"/>
    <w:p>
      <w:pPr>
        <w:pStyle w:val="Heading3"/>
      </w:pPr>
      <w:r>
        <w:t xml:space="preserve">2.3.2 Factor Mobility</w:t>
      </w:r>
    </w:p>
    <w:p>
      <w:pPr>
        <w:pStyle w:val="Compact"/>
        <w:numPr>
          <w:ilvl w:val="0"/>
          <w:numId w:val="1030"/>
        </w:numPr>
      </w:pPr>
      <w:r>
        <w:t xml:space="preserve">Classical theory assumed factors of production (land, labor, capital) stayed within countries</w:t>
      </w:r>
    </w:p>
    <w:p>
      <w:pPr>
        <w:pStyle w:val="Compact"/>
        <w:numPr>
          <w:ilvl w:val="0"/>
          <w:numId w:val="1030"/>
        </w:numPr>
      </w:pPr>
      <w:r>
        <w:t xml:space="preserve">Modern reality: Capital flows freely across borders</w:t>
      </w:r>
    </w:p>
    <w:p>
      <w:pPr>
        <w:pStyle w:val="Compact"/>
        <w:numPr>
          <w:ilvl w:val="0"/>
          <w:numId w:val="1030"/>
        </w:numPr>
      </w:pPr>
      <w:r>
        <w:t xml:space="preserve">Technology transfers rapidly</w:t>
      </w:r>
    </w:p>
    <w:p>
      <w:pPr>
        <w:pStyle w:val="Compact"/>
        <w:numPr>
          <w:ilvl w:val="0"/>
          <w:numId w:val="1030"/>
        </w:numPr>
      </w:pPr>
      <w:r>
        <w:t xml:space="preserve">Even labor moves (though less freely than capital)</w:t>
      </w:r>
    </w:p>
    <w:bookmarkEnd w:id="56"/>
    <w:bookmarkStart w:id="57" w:name="more-complex-factors-of-production"/>
    <w:p>
      <w:pPr>
        <w:pStyle w:val="Heading3"/>
      </w:pPr>
      <w:r>
        <w:t xml:space="preserve">2.3.3 More Complex Factors of Production</w:t>
      </w:r>
    </w:p>
    <w:p>
      <w:pPr>
        <w:pStyle w:val="FirstParagraph"/>
      </w:pPr>
      <w:r>
        <w:t xml:space="preserve">Modern location decisions consider:</w:t>
      </w:r>
    </w:p>
    <w:p>
      <w:pPr>
        <w:pStyle w:val="Compact"/>
        <w:numPr>
          <w:ilvl w:val="0"/>
          <w:numId w:val="1031"/>
        </w:numPr>
      </w:pPr>
      <w:r>
        <w:t xml:space="preserve">Managerial expertise</w:t>
      </w:r>
    </w:p>
    <w:p>
      <w:pPr>
        <w:pStyle w:val="Compact"/>
        <w:numPr>
          <w:ilvl w:val="0"/>
          <w:numId w:val="1031"/>
        </w:numPr>
      </w:pPr>
      <w:r>
        <w:t xml:space="preserve">Legal and regulatory environment</w:t>
      </w:r>
    </w:p>
    <w:p>
      <w:pPr>
        <w:pStyle w:val="Compact"/>
        <w:numPr>
          <w:ilvl w:val="0"/>
          <w:numId w:val="1031"/>
        </w:numPr>
      </w:pPr>
      <w:r>
        <w:t xml:space="preserve">R&amp;D capabilities</w:t>
      </w:r>
    </w:p>
    <w:p>
      <w:pPr>
        <w:pStyle w:val="Compact"/>
        <w:numPr>
          <w:ilvl w:val="0"/>
          <w:numId w:val="1031"/>
        </w:numPr>
      </w:pPr>
      <w:r>
        <w:t xml:space="preserve">Education levels of workforce</w:t>
      </w:r>
    </w:p>
    <w:p>
      <w:pPr>
        <w:pStyle w:val="Compact"/>
        <w:numPr>
          <w:ilvl w:val="0"/>
          <w:numId w:val="1031"/>
        </w:numPr>
      </w:pPr>
      <w:r>
        <w:t xml:space="preserve">Infrastructure quality</w:t>
      </w:r>
    </w:p>
    <w:p>
      <w:pPr>
        <w:pStyle w:val="Compact"/>
        <w:numPr>
          <w:ilvl w:val="0"/>
          <w:numId w:val="1031"/>
        </w:numPr>
      </w:pPr>
      <w:r>
        <w:t xml:space="preserve">Access to capital markets</w:t>
      </w:r>
    </w:p>
    <w:p>
      <w:pPr>
        <w:pStyle w:val="Compact"/>
        <w:numPr>
          <w:ilvl w:val="0"/>
          <w:numId w:val="1031"/>
        </w:numPr>
      </w:pPr>
      <w:r>
        <w:t xml:space="preserve">Tax differentials</w:t>
      </w:r>
    </w:p>
    <w:p>
      <w:pPr>
        <w:pStyle w:val="Compact"/>
        <w:numPr>
          <w:ilvl w:val="0"/>
          <w:numId w:val="1031"/>
        </w:numPr>
      </w:pPr>
      <w:r>
        <w:t xml:space="preserve">Political stability</w:t>
      </w:r>
    </w:p>
    <w:bookmarkEnd w:id="57"/>
    <w:bookmarkStart w:id="58" w:name="comparative-advantage-shifts-over-time"/>
    <w:p>
      <w:pPr>
        <w:pStyle w:val="Heading3"/>
      </w:pPr>
      <w:r>
        <w:t xml:space="preserve">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2"/>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8"/>
    <w:bookmarkEnd w:id="59"/>
    <w:bookmarkStart w:id="60" w:name="relevance-today"/>
    <w:p>
      <w:pPr>
        <w:pStyle w:val="Heading2"/>
      </w:pPr>
      <w:r>
        <w:t xml:space="preserve">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3"/>
        </w:numPr>
      </w:pPr>
      <w:r>
        <w:t xml:space="preserve">Financial back offices in Manila (Philippines)</w:t>
      </w:r>
    </w:p>
    <w:p>
      <w:pPr>
        <w:pStyle w:val="Compact"/>
        <w:numPr>
          <w:ilvl w:val="0"/>
          <w:numId w:val="1033"/>
        </w:numPr>
      </w:pPr>
      <w:r>
        <w:t xml:space="preserve">IT engineering in Hungary and India</w:t>
      </w:r>
    </w:p>
    <w:p>
      <w:pPr>
        <w:pStyle w:val="Compact"/>
        <w:numPr>
          <w:ilvl w:val="0"/>
          <w:numId w:val="1033"/>
        </w:numPr>
      </w:pPr>
      <w:r>
        <w:t xml:space="preserve">Manufacturing in Vietnam and Bangladesh</w:t>
      </w:r>
    </w:p>
    <w:p>
      <w:pPr>
        <w:pStyle w:val="Compact"/>
        <w:numPr>
          <w:ilvl w:val="0"/>
          <w:numId w:val="1033"/>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4"/>
        </w:numPr>
      </w:pPr>
      <w:r>
        <w:t xml:space="preserve">Labor skills and costs</w:t>
      </w:r>
    </w:p>
    <w:p>
      <w:pPr>
        <w:pStyle w:val="Compact"/>
        <w:numPr>
          <w:ilvl w:val="0"/>
          <w:numId w:val="1034"/>
        </w:numPr>
      </w:pPr>
      <w:r>
        <w:t xml:space="preserve">Access to capital</w:t>
      </w:r>
    </w:p>
    <w:p>
      <w:pPr>
        <w:pStyle w:val="Compact"/>
        <w:numPr>
          <w:ilvl w:val="0"/>
          <w:numId w:val="1034"/>
        </w:numPr>
      </w:pPr>
      <w:r>
        <w:t xml:space="preserve">Technology and innovation capacity</w:t>
      </w:r>
    </w:p>
    <w:p>
      <w:pPr>
        <w:pStyle w:val="Compact"/>
        <w:numPr>
          <w:ilvl w:val="0"/>
          <w:numId w:val="1034"/>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60"/>
    <w:bookmarkEnd w:id="61"/>
    <w:bookmarkStart w:id="86" w:name="X061cf9af71bf02a2e3b3df0c511987901ed4f6c"/>
    <w:p>
      <w:pPr>
        <w:pStyle w:val="Heading1"/>
      </w:pPr>
      <w:r>
        <w:t xml:space="preserve">3. What Makes International Finance Management Different?</w:t>
      </w:r>
    </w:p>
    <w:bookmarkStart w:id="65" w:name="framework-for-understanding-differences"/>
    <w:p>
      <w:pPr>
        <w:pStyle w:val="Heading2"/>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3" name="Picture"/>
            <a:graphic>
              <a:graphicData uri="http://schemas.openxmlformats.org/drawingml/2006/picture">
                <pic:pic>
                  <pic:nvPicPr>
                    <pic:cNvPr descr="../assets/images/Exhibit%201.3.png" id="64" name="Picture"/>
                    <pic:cNvPicPr>
                      <a:picLocks noChangeArrowheads="1" noChangeAspect="1"/>
                    </pic:cNvPicPr>
                  </pic:nvPicPr>
                  <pic:blipFill>
                    <a:blip r:embed="rId62"/>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5"/>
    <w:bookmarkStart w:id="69" w:name="X75e341cb358aedb7b3da04bd4112b6d99d541a3"/>
    <w:p>
      <w:pPr>
        <w:pStyle w:val="Heading2"/>
      </w:pPr>
      <w:r>
        <w:t xml:space="preserve">3.1 Culture, History, and Institutional Differences</w:t>
      </w:r>
    </w:p>
    <w:bookmarkStart w:id="66" w:name="cultural-challenges"/>
    <w:p>
      <w:pPr>
        <w:pStyle w:val="Heading3"/>
      </w:pPr>
      <w:r>
        <w:t xml:space="preserve">3.1.1 Cultural Challenges</w:t>
      </w:r>
    </w:p>
    <w:p>
      <w:pPr>
        <w:pStyle w:val="Compact"/>
        <w:numPr>
          <w:ilvl w:val="0"/>
          <w:numId w:val="1035"/>
        </w:numPr>
      </w:pPr>
      <w:r>
        <w:t xml:space="preserve">Business practices vary enormously</w:t>
      </w:r>
    </w:p>
    <w:p>
      <w:pPr>
        <w:pStyle w:val="Compact"/>
        <w:numPr>
          <w:ilvl w:val="0"/>
          <w:numId w:val="1035"/>
        </w:numPr>
      </w:pPr>
      <w:r>
        <w:t xml:space="preserve">Contract interpretation differences</w:t>
      </w:r>
    </w:p>
    <w:p>
      <w:pPr>
        <w:pStyle w:val="Compact"/>
        <w:numPr>
          <w:ilvl w:val="0"/>
          <w:numId w:val="1035"/>
        </w:numPr>
      </w:pPr>
      <w:r>
        <w:t xml:space="preserve">Relationship vs. transaction orientation</w:t>
      </w:r>
    </w:p>
    <w:p>
      <w:pPr>
        <w:pStyle w:val="Compact"/>
        <w:numPr>
          <w:ilvl w:val="0"/>
          <w:numId w:val="1035"/>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bookmarkEnd w:id="66"/>
    <w:bookmarkStart w:id="67" w:name="historical-context"/>
    <w:p>
      <w:pPr>
        <w:pStyle w:val="Heading3"/>
      </w:pPr>
      <w:r>
        <w:t xml:space="preserve">3.1.2 Historical Context</w:t>
      </w:r>
    </w:p>
    <w:p>
      <w:pPr>
        <w:pStyle w:val="Compact"/>
        <w:numPr>
          <w:ilvl w:val="0"/>
          <w:numId w:val="1036"/>
        </w:numPr>
      </w:pPr>
      <w:r>
        <w:t xml:space="preserve">Legal systems differ (common law vs. civil law vs. religious law)</w:t>
      </w:r>
    </w:p>
    <w:p>
      <w:pPr>
        <w:pStyle w:val="Compact"/>
        <w:numPr>
          <w:ilvl w:val="0"/>
          <w:numId w:val="1036"/>
        </w:numPr>
      </w:pPr>
      <w:r>
        <w:t xml:space="preserve">Accounting standards vary (though IFRS is harmonizing some)</w:t>
      </w:r>
    </w:p>
    <w:p>
      <w:pPr>
        <w:pStyle w:val="Compact"/>
        <w:numPr>
          <w:ilvl w:val="0"/>
          <w:numId w:val="1036"/>
        </w:numPr>
      </w:pPr>
      <w:r>
        <w:t xml:space="preserve">Property rights protection differs dramatically</w:t>
      </w:r>
    </w:p>
    <w:bookmarkEnd w:id="67"/>
    <w:bookmarkStart w:id="68" w:name="institutional-frameworks"/>
    <w:p>
      <w:pPr>
        <w:pStyle w:val="Heading3"/>
      </w:pPr>
      <w:r>
        <w:t xml:space="preserve">3.1.3 Institutional Frameworks</w:t>
      </w:r>
    </w:p>
    <w:p>
      <w:pPr>
        <w:pStyle w:val="Compact"/>
        <w:numPr>
          <w:ilvl w:val="0"/>
          <w:numId w:val="1037"/>
        </w:numPr>
      </w:pPr>
      <w:r>
        <w:t xml:space="preserve">Banking system structures</w:t>
      </w:r>
    </w:p>
    <w:p>
      <w:pPr>
        <w:pStyle w:val="Compact"/>
        <w:numPr>
          <w:ilvl w:val="0"/>
          <w:numId w:val="1037"/>
        </w:numPr>
      </w:pPr>
      <w:r>
        <w:t xml:space="preserve">Capital market development levels</w:t>
      </w:r>
    </w:p>
    <w:p>
      <w:pPr>
        <w:pStyle w:val="Compact"/>
        <w:numPr>
          <w:ilvl w:val="0"/>
          <w:numId w:val="1037"/>
        </w:numPr>
      </w:pPr>
      <w:r>
        <w:t xml:space="preserve">Government roles in economy</w:t>
      </w:r>
    </w:p>
    <w:p>
      <w:pPr>
        <w:pStyle w:val="Compact"/>
        <w:numPr>
          <w:ilvl w:val="0"/>
          <w:numId w:val="1037"/>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8"/>
    <w:bookmarkEnd w:id="69"/>
    <w:bookmarkStart w:id="71" w:name="corporate-governance-differences"/>
    <w:p>
      <w:pPr>
        <w:pStyle w:val="Heading2"/>
      </w:pPr>
      <w:r>
        <w:t xml:space="preserve">3.2 Corporate Governance Differences</w:t>
      </w:r>
    </w:p>
    <w:p>
      <w:pPr>
        <w:pStyle w:val="FirstParagraph"/>
      </w:pPr>
      <w:r>
        <w:rPr>
          <w:b/>
          <w:bCs/>
        </w:rPr>
        <w:t xml:space="preserve">Critical Point:</w:t>
      </w:r>
      <w:r>
        <w:t xml:space="preserve"> </w:t>
      </w:r>
      <w:r>
        <w:t xml:space="preserve">Not all countries have the same ownership structures or governance models.</w:t>
      </w:r>
    </w:p>
    <w:bookmarkStart w:id="70" w:name="three-primary-models"/>
    <w:p>
      <w:pPr>
        <w:pStyle w:val="Heading3"/>
      </w:pPr>
      <w:r>
        <w:t xml:space="preserve">3.2.1 Three Primary Models</w:t>
      </w:r>
    </w:p>
    <w:p>
      <w:pPr>
        <w:pStyle w:val="FirstParagraph"/>
      </w:pPr>
      <w:r>
        <w:rPr>
          <w:b/>
          <w:bCs/>
        </w:rPr>
        <w:t xml:space="preserve">1. Anglo-American Model:</w:t>
      </w:r>
    </w:p>
    <w:p>
      <w:pPr>
        <w:pStyle w:val="Compact"/>
        <w:numPr>
          <w:ilvl w:val="0"/>
          <w:numId w:val="1038"/>
        </w:numPr>
      </w:pPr>
      <w:r>
        <w:t xml:space="preserve">Dispersed shareholders</w:t>
      </w:r>
    </w:p>
    <w:p>
      <w:pPr>
        <w:pStyle w:val="Compact"/>
        <w:numPr>
          <w:ilvl w:val="0"/>
          <w:numId w:val="1038"/>
        </w:numPr>
      </w:pPr>
      <w:r>
        <w:t xml:space="preserve">Active stock markets</w:t>
      </w:r>
    </w:p>
    <w:p>
      <w:pPr>
        <w:pStyle w:val="Compact"/>
        <w:numPr>
          <w:ilvl w:val="0"/>
          <w:numId w:val="1038"/>
        </w:numPr>
      </w:pPr>
      <w:r>
        <w:t xml:space="preserve">Strong shareholder rights</w:t>
      </w:r>
    </w:p>
    <w:p>
      <w:pPr>
        <w:pStyle w:val="Compact"/>
        <w:numPr>
          <w:ilvl w:val="0"/>
          <w:numId w:val="1038"/>
        </w:numPr>
      </w:pPr>
      <w:r>
        <w:t xml:space="preserve">Goal: Maximize shareholder value</w:t>
      </w:r>
    </w:p>
    <w:p>
      <w:pPr>
        <w:pStyle w:val="Compact"/>
        <w:numPr>
          <w:ilvl w:val="0"/>
          <w:numId w:val="1038"/>
        </w:numPr>
      </w:pPr>
      <w:r>
        <w:t xml:space="preserve">Examples: US, UK, Canada, Australia</w:t>
      </w:r>
    </w:p>
    <w:p>
      <w:pPr>
        <w:pStyle w:val="FirstParagraph"/>
      </w:pPr>
      <w:r>
        <w:rPr>
          <w:b/>
          <w:bCs/>
        </w:rPr>
        <w:t xml:space="preserve">2. Continental European Model:</w:t>
      </w:r>
    </w:p>
    <w:p>
      <w:pPr>
        <w:pStyle w:val="Compact"/>
        <w:numPr>
          <w:ilvl w:val="0"/>
          <w:numId w:val="1039"/>
        </w:numPr>
      </w:pPr>
      <w:r>
        <w:t xml:space="preserve">Concentrated ownership (families, banks, other corporations)</w:t>
      </w:r>
    </w:p>
    <w:p>
      <w:pPr>
        <w:pStyle w:val="Compact"/>
        <w:numPr>
          <w:ilvl w:val="0"/>
          <w:numId w:val="1039"/>
        </w:numPr>
      </w:pPr>
      <w:r>
        <w:t xml:space="preserve">Stakeholder orientation (employees, community, shareholders)</w:t>
      </w:r>
    </w:p>
    <w:p>
      <w:pPr>
        <w:pStyle w:val="Compact"/>
        <w:numPr>
          <w:ilvl w:val="0"/>
          <w:numId w:val="1039"/>
        </w:numPr>
      </w:pPr>
      <w:r>
        <w:t xml:space="preserve">Bank-centered finance</w:t>
      </w:r>
    </w:p>
    <w:p>
      <w:pPr>
        <w:pStyle w:val="Compact"/>
        <w:numPr>
          <w:ilvl w:val="0"/>
          <w:numId w:val="1039"/>
        </w:numPr>
      </w:pPr>
      <w:r>
        <w:t xml:space="preserve">Examples: Germany, France, Italy</w:t>
      </w:r>
    </w:p>
    <w:p>
      <w:pPr>
        <w:pStyle w:val="FirstParagraph"/>
      </w:pPr>
      <w:r>
        <w:rPr>
          <w:b/>
          <w:bCs/>
        </w:rPr>
        <w:t xml:space="preserve">3. Asian Model:</w:t>
      </w:r>
    </w:p>
    <w:p>
      <w:pPr>
        <w:pStyle w:val="Compact"/>
        <w:numPr>
          <w:ilvl w:val="0"/>
          <w:numId w:val="1040"/>
        </w:numPr>
      </w:pPr>
      <w:r>
        <w:t xml:space="preserve">Often family-controlled (even in public companies)</w:t>
      </w:r>
    </w:p>
    <w:p>
      <w:pPr>
        <w:pStyle w:val="Compact"/>
        <w:numPr>
          <w:ilvl w:val="0"/>
          <w:numId w:val="1040"/>
        </w:numPr>
      </w:pPr>
      <w:r>
        <w:t xml:space="preserve">Keiretsu in Japan, Chaebol in Korea</w:t>
      </w:r>
    </w:p>
    <w:p>
      <w:pPr>
        <w:pStyle w:val="Compact"/>
        <w:numPr>
          <w:ilvl w:val="0"/>
          <w:numId w:val="1040"/>
        </w:numPr>
      </w:pPr>
      <w:r>
        <w:t xml:space="preserve">Network relationships important</w:t>
      </w:r>
    </w:p>
    <w:p>
      <w:pPr>
        <w:pStyle w:val="Compact"/>
        <w:numPr>
          <w:ilvl w:val="0"/>
          <w:numId w:val="1040"/>
        </w:numPr>
      </w:pPr>
      <w:r>
        <w:t xml:space="preserve">State ownership common (especially China)</w:t>
      </w:r>
    </w:p>
    <w:p>
      <w:pPr>
        <w:pStyle w:val="FirstParagraph"/>
      </w:pPr>
      <w:r>
        <w:rPr>
          <w:b/>
          <w:bCs/>
        </w:rPr>
        <w:t xml:space="preserve">Why This Matters:</w:t>
      </w:r>
    </w:p>
    <w:p>
      <w:pPr>
        <w:pStyle w:val="Compact"/>
        <w:numPr>
          <w:ilvl w:val="0"/>
          <w:numId w:val="1041"/>
        </w:numPr>
      </w:pPr>
      <w:r>
        <w:t xml:space="preserve">Affects access to capital</w:t>
      </w:r>
    </w:p>
    <w:p>
      <w:pPr>
        <w:pStyle w:val="Compact"/>
        <w:numPr>
          <w:ilvl w:val="0"/>
          <w:numId w:val="1041"/>
        </w:numPr>
      </w:pPr>
      <w:r>
        <w:t xml:space="preserve">Influences financial decisions</w:t>
      </w:r>
    </w:p>
    <w:p>
      <w:pPr>
        <w:pStyle w:val="Compact"/>
        <w:numPr>
          <w:ilvl w:val="0"/>
          <w:numId w:val="1041"/>
        </w:numPr>
      </w:pPr>
      <w:r>
        <w:t xml:space="preserve">Determines accountability structures</w:t>
      </w:r>
    </w:p>
    <w:p>
      <w:pPr>
        <w:pStyle w:val="Compact"/>
        <w:numPr>
          <w:ilvl w:val="0"/>
          <w:numId w:val="1041"/>
        </w:numPr>
      </w:pPr>
      <w:r>
        <w:t xml:space="preserve">Shapes strategic objectives</w:t>
      </w:r>
    </w:p>
    <w:bookmarkEnd w:id="70"/>
    <w:bookmarkEnd w:id="71"/>
    <w:bookmarkStart w:id="74" w:name="foreign-exchange-risk"/>
    <w:p>
      <w:pPr>
        <w:pStyle w:val="Heading2"/>
      </w:pPr>
      <w:r>
        <w:t xml:space="preserve">3.3 Foreign Exchange Risk</w:t>
      </w:r>
    </w:p>
    <w:p>
      <w:pPr>
        <w:pStyle w:val="FirstParagraph"/>
      </w:pPr>
      <w:r>
        <w:rPr>
          <w:b/>
          <w:bCs/>
        </w:rPr>
        <w:t xml:space="preserve">This is THE defining characteristic of international finance.</w:t>
      </w:r>
    </w:p>
    <w:p>
      <w:pPr>
        <w:pStyle w:val="Compact"/>
        <w:numPr>
          <w:ilvl w:val="0"/>
          <w:numId w:val="1042"/>
        </w:numPr>
      </w:pPr>
      <w:r>
        <w:rPr>
          <w:b/>
          <w:bCs/>
        </w:rPr>
        <w:t xml:space="preserve">Domestic firm:</w:t>
      </w:r>
      <w:r>
        <w:t xml:space="preserve"> </w:t>
      </w:r>
      <w:r>
        <w:t xml:space="preserve">All transactions in one currency</w:t>
      </w:r>
    </w:p>
    <w:p>
      <w:pPr>
        <w:pStyle w:val="Compact"/>
        <w:numPr>
          <w:ilvl w:val="0"/>
          <w:numId w:val="1042"/>
        </w:numPr>
      </w:pPr>
      <w:r>
        <w:rPr>
          <w:b/>
          <w:bCs/>
        </w:rPr>
        <w:t xml:space="preserve">International trading firm:</w:t>
      </w:r>
      <w:r>
        <w:t xml:space="preserve"> </w:t>
      </w:r>
      <w:r>
        <w:t xml:space="preserve">Some transactions in foreign currencies (import/export)</w:t>
      </w:r>
    </w:p>
    <w:p>
      <w:pPr>
        <w:pStyle w:val="Compact"/>
        <w:numPr>
          <w:ilvl w:val="0"/>
          <w:numId w:val="1042"/>
        </w:numPr>
      </w:pPr>
      <w:r>
        <w:rPr>
          <w:b/>
          <w:bCs/>
        </w:rPr>
        <w:t xml:space="preserve">Multinational firm:</w:t>
      </w:r>
      <w:r>
        <w:t xml:space="preserve"> </w:t>
      </w:r>
      <w:r>
        <w:t xml:space="preserve">Extensive foreign currency exposure through:</w:t>
      </w:r>
    </w:p>
    <w:p>
      <w:pPr>
        <w:pStyle w:val="Compact"/>
        <w:numPr>
          <w:ilvl w:val="1"/>
          <w:numId w:val="1043"/>
        </w:numPr>
      </w:pPr>
      <w:r>
        <w:t xml:space="preserve">Foreign sales and revenues</w:t>
      </w:r>
    </w:p>
    <w:p>
      <w:pPr>
        <w:pStyle w:val="Compact"/>
        <w:numPr>
          <w:ilvl w:val="1"/>
          <w:numId w:val="1043"/>
        </w:numPr>
      </w:pPr>
      <w:r>
        <w:t xml:space="preserve">Foreign costs and expenses</w:t>
      </w:r>
      <w:r>
        <w:br/>
      </w:r>
    </w:p>
    <w:p>
      <w:pPr>
        <w:pStyle w:val="Compact"/>
        <w:numPr>
          <w:ilvl w:val="1"/>
          <w:numId w:val="1043"/>
        </w:numPr>
      </w:pPr>
      <w:r>
        <w:t xml:space="preserve">Foreign assets and liabilities</w:t>
      </w:r>
    </w:p>
    <w:p>
      <w:pPr>
        <w:pStyle w:val="Compact"/>
        <w:numPr>
          <w:ilvl w:val="1"/>
          <w:numId w:val="1043"/>
        </w:numPr>
      </w:pPr>
      <w:r>
        <w:t xml:space="preserve">Foreign subsidiary operations</w:t>
      </w:r>
    </w:p>
    <w:bookmarkStart w:id="72" w:name="types-of-foreign-exchange-exposure"/>
    <w:p>
      <w:pPr>
        <w:pStyle w:val="Heading3"/>
      </w:pPr>
      <w:r>
        <w:t xml:space="preserve">3.3.1 Types of Foreign Exchange Exposure</w:t>
      </w:r>
    </w:p>
    <w:p>
      <w:pPr>
        <w:pStyle w:val="FirstParagraph"/>
      </w:pPr>
      <w:r>
        <w:rPr>
          <w:b/>
          <w:bCs/>
        </w:rPr>
        <w:t xml:space="preserve">1. Transaction Exposure:</w:t>
      </w:r>
    </w:p>
    <w:p>
      <w:pPr>
        <w:pStyle w:val="Compact"/>
        <w:numPr>
          <w:ilvl w:val="0"/>
          <w:numId w:val="1044"/>
        </w:numPr>
      </w:pPr>
      <w:r>
        <w:t xml:space="preserve">Committed but not yet settled foreign currency transactions</w:t>
      </w:r>
    </w:p>
    <w:p>
      <w:pPr>
        <w:pStyle w:val="Compact"/>
        <w:numPr>
          <w:ilvl w:val="0"/>
          <w:numId w:val="1044"/>
        </w:numPr>
      </w:pPr>
      <w:r>
        <w:t xml:space="preserve">Example: US company sells to German customer, invoice for €1 million due in 90 days</w:t>
      </w:r>
    </w:p>
    <w:p>
      <w:pPr>
        <w:pStyle w:val="Compact"/>
        <w:numPr>
          <w:ilvl w:val="0"/>
          <w:numId w:val="1044"/>
        </w:numPr>
      </w:pPr>
      <w:r>
        <w:t xml:space="preserve">Risk: Euro value could fall during 90 days</w:t>
      </w:r>
    </w:p>
    <w:p>
      <w:pPr>
        <w:pStyle w:val="FirstParagraph"/>
      </w:pPr>
      <w:r>
        <w:rPr>
          <w:b/>
          <w:bCs/>
        </w:rPr>
        <w:t xml:space="preserve">2. Translation (Accounting) Exposure:</w:t>
      </w:r>
    </w:p>
    <w:p>
      <w:pPr>
        <w:pStyle w:val="Compact"/>
        <w:numPr>
          <w:ilvl w:val="0"/>
          <w:numId w:val="1045"/>
        </w:numPr>
      </w:pPr>
      <w:r>
        <w:t xml:space="preserve">Converting foreign subsidiary financial statements to home currency</w:t>
      </w:r>
    </w:p>
    <w:p>
      <w:pPr>
        <w:pStyle w:val="Compact"/>
        <w:numPr>
          <w:ilvl w:val="0"/>
          <w:numId w:val="1045"/>
        </w:numPr>
      </w:pPr>
      <w:r>
        <w:t xml:space="preserve">Even if foreign operations are stable, exchange rate changes affect reported results</w:t>
      </w:r>
    </w:p>
    <w:p>
      <w:pPr>
        <w:pStyle w:val="FirstParagraph"/>
      </w:pPr>
      <w:r>
        <w:rPr>
          <w:b/>
          <w:bCs/>
        </w:rPr>
        <w:t xml:space="preserve">3. Economic (Operating) Exposure:</w:t>
      </w:r>
    </w:p>
    <w:p>
      <w:pPr>
        <w:pStyle w:val="Compact"/>
        <w:numPr>
          <w:ilvl w:val="0"/>
          <w:numId w:val="1046"/>
        </w:numPr>
      </w:pPr>
      <w:r>
        <w:t xml:space="preserve">Long-term competitiveness effects from exchange rate changes</w:t>
      </w:r>
    </w:p>
    <w:p>
      <w:pPr>
        <w:pStyle w:val="Compact"/>
        <w:numPr>
          <w:ilvl w:val="0"/>
          <w:numId w:val="1046"/>
        </w:numPr>
      </w:pPr>
      <w:r>
        <w:t xml:space="preserve">Hardest to measure but potentially most significant</w:t>
      </w:r>
    </w:p>
    <w:bookmarkEnd w:id="72"/>
    <w:bookmarkStart w:id="73" w:name="classroom-example-ganado-corporation"/>
    <w:p>
      <w:pPr>
        <w:pStyle w:val="Heading3"/>
      </w:pPr>
      <w:r>
        <w:t xml:space="preserve">3.3.2 Classroom Example: Ganado Corporation</w:t>
      </w:r>
    </w:p>
    <w:p>
      <w:pPr>
        <w:pStyle w:val="FirstParagraph"/>
      </w:pPr>
      <w:r>
        <w:t xml:space="preserve">Let’s create a simple consolidation example:</w:t>
      </w:r>
    </w:p>
    <w:p>
      <w:pPr>
        <w:pStyle w:val="TableCaption"/>
      </w:pPr>
      <w:r>
        <w:t xml:space="preserve">Ganado Corporation - Consolidated Results</w:t>
      </w:r>
    </w:p>
    <w:tbl>
      <w:tblPr>
        <w:tblStyle w:val="Table"/>
        <w:tblW w:type="pct" w:w="5000"/>
        <w:tblLayout w:type="fixed"/>
        <w:tblLook w:firstRow="1" w:lastRow="0" w:firstColumn="0" w:lastColumn="0" w:noHBand="0" w:noVBand="0" w:val="0020"/>
        <w:tblCaption w:val="Ganado Corporation - Consolidated Results"/>
      </w:tblPr>
      <w:tblGrid>
        <w:gridCol w:w="837"/>
        <w:gridCol w:w="685"/>
        <w:gridCol w:w="913"/>
        <w:gridCol w:w="1142"/>
        <w:gridCol w:w="1066"/>
        <w:gridCol w:w="1523"/>
        <w:gridCol w:w="761"/>
        <w:gridCol w:w="990"/>
      </w:tblGrid>
      <w:tr>
        <w:trPr>
          <w:tblHeader w:val="on"/>
        </w:trPr>
        <w:tc>
          <w:tcPr/>
          <w:p>
            <w:pPr>
              <w:pStyle w:val="Compact"/>
              <w:jc w:val="left"/>
            </w:pPr>
            <w:r>
              <w:t xml:space="preserve">Subsidiary</w:t>
            </w:r>
          </w:p>
        </w:tc>
        <w:tc>
          <w:tcPr/>
          <w:p>
            <w:pPr>
              <w:pStyle w:val="Compact"/>
              <w:jc w:val="left"/>
            </w:pPr>
            <w:r>
              <w:t xml:space="preserve">Currency</w:t>
            </w:r>
          </w:p>
        </w:tc>
        <w:tc>
          <w:tcPr/>
          <w:p>
            <w:pPr>
              <w:pStyle w:val="Compact"/>
              <w:jc w:val="right"/>
            </w:pPr>
            <w:r>
              <w:t xml:space="preserve">Sales_Local</w:t>
            </w:r>
          </w:p>
        </w:tc>
        <w:tc>
          <w:tcPr/>
          <w:p>
            <w:pPr>
              <w:pStyle w:val="Compact"/>
              <w:jc w:val="right"/>
            </w:pPr>
            <w:r>
              <w:t xml:space="preserve">Earnings_Local</w:t>
            </w:r>
          </w:p>
        </w:tc>
        <w:tc>
          <w:tcPr/>
          <w:p>
            <w:pPr>
              <w:pStyle w:val="Compact"/>
              <w:jc w:val="right"/>
            </w:pPr>
            <w:r>
              <w:t xml:space="preserve">Exchange_Rate</w:t>
            </w:r>
          </w:p>
        </w:tc>
        <w:tc>
          <w:tcPr/>
          <w:p>
            <w:pPr>
              <w:pStyle w:val="Compact"/>
              <w:jc w:val="left"/>
            </w:pPr>
            <w:r>
              <w:t xml:space="preserve">Rate_Description</w:t>
            </w:r>
          </w:p>
        </w:tc>
        <w:tc>
          <w:tcPr/>
          <w:p>
            <w:pPr>
              <w:pStyle w:val="Compact"/>
              <w:jc w:val="right"/>
            </w:pPr>
            <w:r>
              <w:t xml:space="preserve">Sales_USD</w:t>
            </w:r>
          </w:p>
        </w:tc>
        <w:tc>
          <w:tcPr/>
          <w:p>
            <w:pPr>
              <w:pStyle w:val="Compact"/>
              <w:jc w:val="right"/>
            </w:pPr>
            <w:r>
              <w:t xml:space="preserve">Earnings_USD</w:t>
            </w:r>
          </w:p>
        </w:tc>
      </w:tr>
      <w:tr>
        <w:tc>
          <w:tcPr/>
          <w:p>
            <w:pPr>
              <w:pStyle w:val="Compact"/>
              <w:jc w:val="left"/>
            </w:pPr>
            <w:r>
              <w:t xml:space="preserve">US Parent</w:t>
            </w:r>
          </w:p>
        </w:tc>
        <w:tc>
          <w:tcPr/>
          <w:p>
            <w:pPr>
              <w:pStyle w:val="Compact"/>
              <w:jc w:val="left"/>
            </w:pPr>
            <w:r>
              <w:t xml:space="preserve">USD</w:t>
            </w:r>
          </w:p>
        </w:tc>
        <w:tc>
          <w:tcPr/>
          <w:p>
            <w:pPr>
              <w:pStyle w:val="Compact"/>
              <w:jc w:val="right"/>
            </w:pPr>
            <w:r>
              <w:t xml:space="preserve">300</w:t>
            </w:r>
          </w:p>
        </w:tc>
        <w:tc>
          <w:tcPr/>
          <w:p>
            <w:pPr>
              <w:pStyle w:val="Compact"/>
              <w:jc w:val="right"/>
            </w:pPr>
            <w:r>
              <w:t xml:space="preserve">28.6</w:t>
            </w:r>
          </w:p>
        </w:tc>
        <w:tc>
          <w:tcPr/>
          <w:p>
            <w:pPr>
              <w:pStyle w:val="Compact"/>
              <w:jc w:val="right"/>
            </w:pPr>
            <w:r>
              <w:t xml:space="preserve">1.00</w:t>
            </w:r>
          </w:p>
        </w:tc>
        <w:tc>
          <w:tcPr/>
          <w:p>
            <w:pPr>
              <w:pStyle w:val="Compact"/>
              <w:jc w:val="left"/>
            </w:pPr>
            <w:r>
              <w:t xml:space="preserve">USD 1.00 = USD 1.00</w:t>
            </w:r>
          </w:p>
        </w:tc>
        <w:tc>
          <w:tcPr/>
          <w:p>
            <w:pPr>
              <w:pStyle w:val="Compact"/>
              <w:jc w:val="right"/>
            </w:pPr>
            <w:r>
              <w:t xml:space="preserve">300.0</w:t>
            </w:r>
          </w:p>
        </w:tc>
        <w:tc>
          <w:tcPr/>
          <w:p>
            <w:pPr>
              <w:pStyle w:val="Compact"/>
              <w:jc w:val="right"/>
            </w:pPr>
            <w:r>
              <w:t xml:space="preserve">28.60</w:t>
            </w:r>
          </w:p>
        </w:tc>
      </w:tr>
      <w:tr>
        <w:tc>
          <w:tcPr/>
          <w:p>
            <w:pPr>
              <w:pStyle w:val="Compact"/>
              <w:jc w:val="left"/>
            </w:pPr>
            <w:r>
              <w:t xml:space="preserve">Europe</w:t>
            </w:r>
          </w:p>
        </w:tc>
        <w:tc>
          <w:tcPr/>
          <w:p>
            <w:pPr>
              <w:pStyle w:val="Compact"/>
              <w:jc w:val="left"/>
            </w:pPr>
            <w:r>
              <w:t xml:space="preserve">EUR</w:t>
            </w:r>
          </w:p>
        </w:tc>
        <w:tc>
          <w:tcPr/>
          <w:p>
            <w:pPr>
              <w:pStyle w:val="Compact"/>
              <w:jc w:val="right"/>
            </w:pPr>
            <w:r>
              <w:t xml:space="preserve">120</w:t>
            </w:r>
          </w:p>
        </w:tc>
        <w:tc>
          <w:tcPr/>
          <w:p>
            <w:pPr>
              <w:pStyle w:val="Compact"/>
              <w:jc w:val="right"/>
            </w:pPr>
            <w:r>
              <w:t xml:space="preserve">10.5</w:t>
            </w:r>
          </w:p>
        </w:tc>
        <w:tc>
          <w:tcPr/>
          <w:p>
            <w:pPr>
              <w:pStyle w:val="Compact"/>
              <w:jc w:val="right"/>
            </w:pPr>
            <w:r>
              <w:t xml:space="preserve">1.12</w:t>
            </w:r>
          </w:p>
        </w:tc>
        <w:tc>
          <w:tcPr/>
          <w:p>
            <w:pPr>
              <w:pStyle w:val="Compact"/>
              <w:jc w:val="left"/>
            </w:pPr>
            <w:r>
              <w:t xml:space="preserve">USD 1.12 = EUR 1.00</w:t>
            </w:r>
          </w:p>
        </w:tc>
        <w:tc>
          <w:tcPr/>
          <w:p>
            <w:pPr>
              <w:pStyle w:val="Compact"/>
              <w:jc w:val="right"/>
            </w:pPr>
            <w:r>
              <w:t xml:space="preserve">134.4</w:t>
            </w:r>
          </w:p>
        </w:tc>
        <w:tc>
          <w:tcPr/>
          <w:p>
            <w:pPr>
              <w:pStyle w:val="Compact"/>
              <w:jc w:val="right"/>
            </w:pPr>
            <w:r>
              <w:t xml:space="preserve">11.76</w:t>
            </w:r>
          </w:p>
        </w:tc>
      </w:tr>
      <w:tr>
        <w:tc>
          <w:tcPr/>
          <w:p>
            <w:pPr>
              <w:pStyle w:val="Compact"/>
              <w:jc w:val="left"/>
            </w:pPr>
            <w:r>
              <w:t xml:space="preserve">China</w:t>
            </w:r>
          </w:p>
        </w:tc>
        <w:tc>
          <w:tcPr/>
          <w:p>
            <w:pPr>
              <w:pStyle w:val="Compact"/>
              <w:jc w:val="left"/>
            </w:pPr>
            <w:r>
              <w:t xml:space="preserve">CNY</w:t>
            </w:r>
          </w:p>
        </w:tc>
        <w:tc>
          <w:tcPr/>
          <w:p>
            <w:pPr>
              <w:pStyle w:val="Compact"/>
              <w:jc w:val="right"/>
            </w:pPr>
            <w:r>
              <w:t xml:space="preserve">600</w:t>
            </w:r>
          </w:p>
        </w:tc>
        <w:tc>
          <w:tcPr/>
          <w:p>
            <w:pPr>
              <w:pStyle w:val="Compact"/>
              <w:jc w:val="right"/>
            </w:pPr>
            <w:r>
              <w:t xml:space="preserve">71.4</w:t>
            </w:r>
          </w:p>
        </w:tc>
        <w:tc>
          <w:tcPr/>
          <w:p>
            <w:pPr>
              <w:pStyle w:val="Compact"/>
              <w:jc w:val="right"/>
            </w:pPr>
            <w:r>
              <w:t xml:space="preserve">0.15</w:t>
            </w:r>
          </w:p>
        </w:tc>
        <w:tc>
          <w:tcPr/>
          <w:p>
            <w:pPr>
              <w:pStyle w:val="Compact"/>
              <w:jc w:val="left"/>
            </w:pPr>
            <w:r>
              <w:t xml:space="preserve">CNY 6.60 = USD 1.00</w:t>
            </w:r>
          </w:p>
        </w:tc>
        <w:tc>
          <w:tcPr/>
          <w:p>
            <w:pPr>
              <w:pStyle w:val="Compact"/>
              <w:jc w:val="right"/>
            </w:pPr>
            <w:r>
              <w:t xml:space="preserve">90.9</w:t>
            </w:r>
          </w:p>
        </w:tc>
        <w:tc>
          <w:tcPr/>
          <w:p>
            <w:pPr>
              <w:pStyle w:val="Compact"/>
              <w:jc w:val="right"/>
            </w:pPr>
            <w:r>
              <w:t xml:space="preserve">10.82</w:t>
            </w:r>
          </w:p>
        </w:tc>
      </w:tr>
    </w:tbl>
    <w:p>
      <w:pPr>
        <w:pStyle w:val="SourceCode"/>
      </w:pPr>
      <w:r>
        <w:br/>
      </w:r>
      <w:r>
        <w:rPr>
          <w:rStyle w:val="VerbatimChar"/>
        </w:rPr>
        <w:t xml:space="preserve">Consolidated Totals:</w:t>
      </w:r>
    </w:p>
    <w:p>
      <w:pPr>
        <w:pStyle w:val="SourceCode"/>
      </w:pPr>
      <w:r>
        <w:rPr>
          <w:rStyle w:val="VerbatimChar"/>
        </w:rPr>
        <w:t xml:space="preserve">Total Sales (USD millions): 525.3 </w:t>
      </w:r>
    </w:p>
    <w:p>
      <w:pPr>
        <w:pStyle w:val="SourceCode"/>
      </w:pPr>
      <w:r>
        <w:rPr>
          <w:rStyle w:val="VerbatimChar"/>
        </w:rPr>
        <w:t xml:space="preserve">Total Earnings (USD millions): 51.18 </w:t>
      </w:r>
    </w:p>
    <w:p>
      <w:pPr>
        <w:pStyle w:val="FirstParagraph"/>
      </w:pPr>
      <w:r>
        <w:rPr>
          <w:b/>
          <w:bCs/>
        </w:rPr>
        <w:t xml:space="preserve">Question:</w:t>
      </w:r>
      <w:r>
        <w:t xml:space="preserve"> </w:t>
      </w:r>
      <w:r>
        <w:t xml:space="preserve">“If the euro falls from $1.12 to $1.00, what happens to consolidated earnings, even if European operations don’t change?”</w:t>
      </w:r>
    </w:p>
    <w:p>
      <w:pPr>
        <w:pStyle w:val="SourceCode"/>
      </w:pPr>
      <w:r>
        <w:rPr>
          <w:rStyle w:val="VerbatimChar"/>
        </w:rPr>
        <w:t xml:space="preserve">European Subsidiary Earnings Analysis:</w:t>
      </w:r>
    </w:p>
    <w:p>
      <w:pPr>
        <w:pStyle w:val="SourceCode"/>
      </w:pPr>
      <w:r>
        <w:rPr>
          <w:rStyle w:val="VerbatimChar"/>
        </w:rPr>
        <w:t xml:space="preserve">Local currency earnings (EUR): € 10.5 million (unchanged)</w:t>
      </w:r>
    </w:p>
    <w:p>
      <w:pPr>
        <w:pStyle w:val="SourceCode"/>
      </w:pPr>
      <w:r>
        <w:br/>
      </w:r>
      <w:r>
        <w:rPr>
          <w:rStyle w:val="VerbatimChar"/>
        </w:rPr>
        <w:t xml:space="preserve">Original scenario:</w:t>
      </w:r>
    </w:p>
    <w:p>
      <w:pPr>
        <w:pStyle w:val="SourceCode"/>
      </w:pPr>
      <w:r>
        <w:rPr>
          <w:rStyle w:val="VerbatimChar"/>
        </w:rPr>
        <w:t xml:space="preserve">  Exchange rate: $ 1.12 /€</w:t>
      </w:r>
    </w:p>
    <w:p>
      <w:pPr>
        <w:pStyle w:val="SourceCode"/>
      </w:pPr>
      <w:r>
        <w:rPr>
          <w:rStyle w:val="VerbatimChar"/>
        </w:rPr>
        <w:t xml:space="preserve">  USD earnings: $ 11.76 million</w:t>
      </w:r>
    </w:p>
    <w:p>
      <w:pPr>
        <w:pStyle w:val="SourceCode"/>
      </w:pPr>
      <w:r>
        <w:br/>
      </w:r>
      <w:r>
        <w:rPr>
          <w:rStyle w:val="VerbatimChar"/>
        </w:rPr>
        <w:t xml:space="preserve">New scenario (euro depreciation):</w:t>
      </w:r>
    </w:p>
    <w:p>
      <w:pPr>
        <w:pStyle w:val="SourceCode"/>
      </w:pPr>
      <w:r>
        <w:rPr>
          <w:rStyle w:val="VerbatimChar"/>
        </w:rPr>
        <w:t xml:space="preserve">  Exchange rate: $ 1 /€</w:t>
      </w:r>
    </w:p>
    <w:p>
      <w:pPr>
        <w:pStyle w:val="SourceCode"/>
      </w:pPr>
      <w:r>
        <w:rPr>
          <w:rStyle w:val="VerbatimChar"/>
        </w:rPr>
        <w:t xml:space="preserve">  USD earnings: $ 10.5 million</w:t>
      </w:r>
    </w:p>
    <w:p>
      <w:pPr>
        <w:pStyle w:val="SourceCode"/>
      </w:pPr>
      <w:r>
        <w:br/>
      </w:r>
      <w:r>
        <w:rPr>
          <w:rStyle w:val="VerbatimChar"/>
        </w:rPr>
        <w:t xml:space="preserve">Impact on consolidated earnings: $ -1.26 million</w:t>
      </w:r>
    </w:p>
    <w:p>
      <w:pPr>
        <w:pStyle w:val="SourceCode"/>
      </w:pPr>
      <w:r>
        <w:rPr>
          <w:rStyle w:val="VerbatimChar"/>
        </w:rPr>
        <w:t xml:space="preserve">Percentage decline:  -10.7 %</w:t>
      </w:r>
    </w:p>
    <w:p>
      <w:pPr>
        <w:pStyle w:val="FirstParagraph"/>
      </w:pPr>
      <w:r>
        <w:rPr>
          <w:b/>
          <w:bCs/>
        </w:rPr>
        <w:t xml:space="preserve">Answer:</w:t>
      </w:r>
      <w:r>
        <w:t xml:space="preserve"> </w:t>
      </w:r>
      <w:r>
        <w:t xml:space="preserve">Reported earnings fall by over $1 million purely due to translation!</w:t>
      </w:r>
    </w:p>
    <w:bookmarkEnd w:id="73"/>
    <w:bookmarkEnd w:id="74"/>
    <w:bookmarkStart w:id="76" w:name="political-risk"/>
    <w:p>
      <w:pPr>
        <w:pStyle w:val="Heading2"/>
      </w:pPr>
      <w:r>
        <w:t xml:space="preserve">3.4 Political Risk</w:t>
      </w:r>
    </w:p>
    <w:p>
      <w:pPr>
        <w:pStyle w:val="FirstParagraph"/>
      </w:pPr>
      <w:r>
        <w:rPr>
          <w:b/>
          <w:bCs/>
        </w:rPr>
        <w:t xml:space="preserve">Definition:</w:t>
      </w:r>
      <w:r>
        <w:t xml:space="preserve"> </w:t>
      </w:r>
      <w:r>
        <w:t xml:space="preserve">Risk that government actions will adversely affect business operations or asset values.</w:t>
      </w:r>
    </w:p>
    <w:bookmarkStart w:id="75" w:name="types-of-political-risk"/>
    <w:p>
      <w:pPr>
        <w:pStyle w:val="Heading3"/>
      </w:pPr>
      <w:r>
        <w:t xml:space="preserve">3.4.1 Types of Political Risk</w:t>
      </w:r>
    </w:p>
    <w:p>
      <w:pPr>
        <w:pStyle w:val="FirstParagraph"/>
      </w:pPr>
      <w:r>
        <w:rPr>
          <w:b/>
          <w:bCs/>
        </w:rPr>
        <w:t xml:space="preserve">1. Transfer Risk:</w:t>
      </w:r>
    </w:p>
    <w:p>
      <w:pPr>
        <w:pStyle w:val="Compact"/>
        <w:numPr>
          <w:ilvl w:val="0"/>
          <w:numId w:val="1047"/>
        </w:numPr>
      </w:pPr>
      <w:r>
        <w:t xml:space="preserve">Blocked funds (cannot repatriate earnings)</w:t>
      </w:r>
    </w:p>
    <w:p>
      <w:pPr>
        <w:pStyle w:val="Compact"/>
        <w:numPr>
          <w:ilvl w:val="0"/>
          <w:numId w:val="1047"/>
        </w:numPr>
      </w:pPr>
      <w:r>
        <w:t xml:space="preserve">Example: Argentina imposing currency controls</w:t>
      </w:r>
    </w:p>
    <w:p>
      <w:pPr>
        <w:pStyle w:val="FirstParagraph"/>
      </w:pPr>
      <w:r>
        <w:rPr>
          <w:b/>
          <w:bCs/>
        </w:rPr>
        <w:t xml:space="preserve">2. Expropriation:</w:t>
      </w:r>
    </w:p>
    <w:p>
      <w:pPr>
        <w:pStyle w:val="Compact"/>
        <w:numPr>
          <w:ilvl w:val="0"/>
          <w:numId w:val="1048"/>
        </w:numPr>
      </w:pPr>
      <w:r>
        <w:t xml:space="preserve">Government seizure of assets</w:t>
      </w:r>
    </w:p>
    <w:p>
      <w:pPr>
        <w:pStyle w:val="Compact"/>
        <w:numPr>
          <w:ilvl w:val="0"/>
          <w:numId w:val="1048"/>
        </w:numPr>
      </w:pPr>
      <w:r>
        <w:t xml:space="preserve">May or may not include compensation</w:t>
      </w:r>
    </w:p>
    <w:p>
      <w:pPr>
        <w:pStyle w:val="Compact"/>
        <w:numPr>
          <w:ilvl w:val="0"/>
          <w:numId w:val="1048"/>
        </w:numPr>
      </w:pPr>
      <w:r>
        <w:t xml:space="preserve">Less common today but still occurs</w:t>
      </w:r>
    </w:p>
    <w:p>
      <w:pPr>
        <w:pStyle w:val="FirstParagraph"/>
      </w:pPr>
      <w:r>
        <w:rPr>
          <w:b/>
          <w:bCs/>
        </w:rPr>
        <w:t xml:space="preserve">3. Operational Restrictions:</w:t>
      </w:r>
    </w:p>
    <w:p>
      <w:pPr>
        <w:pStyle w:val="Compact"/>
        <w:numPr>
          <w:ilvl w:val="0"/>
          <w:numId w:val="1049"/>
        </w:numPr>
      </w:pPr>
      <w:r>
        <w:t xml:space="preserve">Local content requirements</w:t>
      </w:r>
    </w:p>
    <w:p>
      <w:pPr>
        <w:pStyle w:val="Compact"/>
        <w:numPr>
          <w:ilvl w:val="0"/>
          <w:numId w:val="1049"/>
        </w:numPr>
      </w:pPr>
      <w:r>
        <w:t xml:space="preserve">Technology transfer mandates</w:t>
      </w:r>
    </w:p>
    <w:p>
      <w:pPr>
        <w:pStyle w:val="Compact"/>
        <w:numPr>
          <w:ilvl w:val="0"/>
          <w:numId w:val="1049"/>
        </w:numPr>
      </w:pPr>
      <w:r>
        <w:t xml:space="preserve">Forced joint ventures</w:t>
      </w:r>
    </w:p>
    <w:p>
      <w:pPr>
        <w:pStyle w:val="Compact"/>
        <w:numPr>
          <w:ilvl w:val="0"/>
          <w:numId w:val="1049"/>
        </w:numPr>
      </w:pPr>
      <w:r>
        <w:t xml:space="preserve">Price controls</w:t>
      </w:r>
    </w:p>
    <w:p>
      <w:pPr>
        <w:pStyle w:val="FirstParagraph"/>
      </w:pPr>
      <w:r>
        <w:rPr>
          <w:b/>
          <w:bCs/>
        </w:rPr>
        <w:t xml:space="preserve">4. Regulatory Changes:</w:t>
      </w:r>
    </w:p>
    <w:p>
      <w:pPr>
        <w:pStyle w:val="Compact"/>
        <w:numPr>
          <w:ilvl w:val="0"/>
          <w:numId w:val="1050"/>
        </w:numPr>
      </w:pPr>
      <w:r>
        <w:t xml:space="preserve">Tax law changes</w:t>
      </w:r>
    </w:p>
    <w:p>
      <w:pPr>
        <w:pStyle w:val="Compact"/>
        <w:numPr>
          <w:ilvl w:val="0"/>
          <w:numId w:val="1050"/>
        </w:numPr>
      </w:pPr>
      <w:r>
        <w:t xml:space="preserve">Labor law changes</w:t>
      </w:r>
    </w:p>
    <w:p>
      <w:pPr>
        <w:pStyle w:val="Compact"/>
        <w:numPr>
          <w:ilvl w:val="0"/>
          <w:numId w:val="1050"/>
        </w:numPr>
      </w:pPr>
      <w:r>
        <w:t xml:space="preserve">Environmental regulation</w:t>
      </w:r>
    </w:p>
    <w:p>
      <w:pPr>
        <w:pStyle w:val="FirstParagraph"/>
      </w:pPr>
      <w:r>
        <w:rPr>
          <w:b/>
          <w:bCs/>
        </w:rPr>
        <w:t xml:space="preserve">Recent Examples:</w:t>
      </w:r>
    </w:p>
    <w:p>
      <w:pPr>
        <w:pStyle w:val="Compact"/>
        <w:numPr>
          <w:ilvl w:val="0"/>
          <w:numId w:val="1051"/>
        </w:numPr>
      </w:pPr>
      <w:r>
        <w:t xml:space="preserve">Russia’s actions in Ukraine affecting Western companies</w:t>
      </w:r>
    </w:p>
    <w:p>
      <w:pPr>
        <w:pStyle w:val="Compact"/>
        <w:numPr>
          <w:ilvl w:val="0"/>
          <w:numId w:val="1051"/>
        </w:numPr>
      </w:pPr>
      <w:r>
        <w:t xml:space="preserve">China’s regulatory crackdowns on tech companies</w:t>
      </w:r>
    </w:p>
    <w:p>
      <w:pPr>
        <w:pStyle w:val="Compact"/>
        <w:numPr>
          <w:ilvl w:val="0"/>
          <w:numId w:val="1051"/>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75"/>
    <w:bookmarkEnd w:id="76"/>
    <w:bookmarkStart w:id="81" w:name="modifications-to-financial-theory"/>
    <w:p>
      <w:pPr>
        <w:pStyle w:val="Heading2"/>
      </w:pPr>
      <w:r>
        <w:t xml:space="preserve">3.5 Modifications to Financial Theory</w:t>
      </w:r>
    </w:p>
    <w:p>
      <w:pPr>
        <w:pStyle w:val="FirstParagraph"/>
      </w:pPr>
      <w:r>
        <w:t xml:space="preserve">Core financial theories remain valid but require adaptation:</w:t>
      </w:r>
    </w:p>
    <w:bookmarkStart w:id="77" w:name="cost-of-capital"/>
    <w:p>
      <w:pPr>
        <w:pStyle w:val="Heading3"/>
      </w:pPr>
      <w:r>
        <w:t xml:space="preserve">3.5.1 Cost of Capital</w:t>
      </w:r>
    </w:p>
    <w:p>
      <w:pPr>
        <w:pStyle w:val="Compact"/>
        <w:numPr>
          <w:ilvl w:val="0"/>
          <w:numId w:val="1052"/>
        </w:numPr>
      </w:pPr>
      <w:r>
        <w:t xml:space="preserve">Must consider multiple country risk premiums</w:t>
      </w:r>
    </w:p>
    <w:p>
      <w:pPr>
        <w:pStyle w:val="Compact"/>
        <w:numPr>
          <w:ilvl w:val="0"/>
          <w:numId w:val="1052"/>
        </w:numPr>
      </w:pPr>
      <w:r>
        <w:t xml:space="preserve">Currency risk affects required returns</w:t>
      </w:r>
    </w:p>
    <w:p>
      <w:pPr>
        <w:pStyle w:val="Compact"/>
        <w:numPr>
          <w:ilvl w:val="0"/>
          <w:numId w:val="1052"/>
        </w:numPr>
      </w:pPr>
      <w:r>
        <w:t xml:space="preserve">Access to global capital markets can LOWER cost of capital</w:t>
      </w:r>
    </w:p>
    <w:bookmarkEnd w:id="77"/>
    <w:bookmarkStart w:id="78" w:name="capital-budgeting"/>
    <w:p>
      <w:pPr>
        <w:pStyle w:val="Heading3"/>
      </w:pPr>
      <w:r>
        <w:t xml:space="preserve">3.5.2 Capital Budgeting</w:t>
      </w:r>
    </w:p>
    <w:p>
      <w:pPr>
        <w:pStyle w:val="Compact"/>
        <w:numPr>
          <w:ilvl w:val="0"/>
          <w:numId w:val="1053"/>
        </w:numPr>
      </w:pPr>
      <w:r>
        <w:t xml:space="preserve">Project cash flows may be in foreign currency</w:t>
      </w:r>
    </w:p>
    <w:p>
      <w:pPr>
        <w:pStyle w:val="Compact"/>
        <w:numPr>
          <w:ilvl w:val="0"/>
          <w:numId w:val="1053"/>
        </w:numPr>
      </w:pPr>
      <w:r>
        <w:t xml:space="preserve">Repatriation restrictions must be considered</w:t>
      </w:r>
    </w:p>
    <w:p>
      <w:pPr>
        <w:pStyle w:val="Compact"/>
        <w:numPr>
          <w:ilvl w:val="0"/>
          <w:numId w:val="1053"/>
        </w:numPr>
      </w:pPr>
      <w:r>
        <w:t xml:space="preserve">Country risk must be incorporated</w:t>
      </w:r>
    </w:p>
    <w:p>
      <w:pPr>
        <w:pStyle w:val="Compact"/>
        <w:numPr>
          <w:ilvl w:val="0"/>
          <w:numId w:val="1053"/>
        </w:numPr>
      </w:pPr>
      <w:r>
        <w:t xml:space="preserve">Multiple tax jurisdictions complicate analysis</w:t>
      </w:r>
    </w:p>
    <w:bookmarkEnd w:id="78"/>
    <w:bookmarkStart w:id="79" w:name="working-capital-management"/>
    <w:p>
      <w:pPr>
        <w:pStyle w:val="Heading3"/>
      </w:pPr>
      <w:r>
        <w:t xml:space="preserve">3.5.3 Working Capital Management</w:t>
      </w:r>
    </w:p>
    <w:p>
      <w:pPr>
        <w:pStyle w:val="Compact"/>
        <w:numPr>
          <w:ilvl w:val="0"/>
          <w:numId w:val="1054"/>
        </w:numPr>
      </w:pPr>
      <w:r>
        <w:t xml:space="preserve">Multiple currencies to manage</w:t>
      </w:r>
    </w:p>
    <w:p>
      <w:pPr>
        <w:pStyle w:val="Compact"/>
        <w:numPr>
          <w:ilvl w:val="0"/>
          <w:numId w:val="1054"/>
        </w:numPr>
      </w:pPr>
      <w:r>
        <w:t xml:space="preserve">International cash pooling opportunities</w:t>
      </w:r>
    </w:p>
    <w:p>
      <w:pPr>
        <w:pStyle w:val="Compact"/>
        <w:numPr>
          <w:ilvl w:val="0"/>
          <w:numId w:val="1054"/>
        </w:numPr>
      </w:pPr>
      <w:r>
        <w:t xml:space="preserve">More complex credit analysis for foreign customers</w:t>
      </w:r>
    </w:p>
    <w:bookmarkEnd w:id="79"/>
    <w:bookmarkStart w:id="80" w:name="capital-structure"/>
    <w:p>
      <w:pPr>
        <w:pStyle w:val="Heading3"/>
      </w:pPr>
      <w:r>
        <w:t xml:space="preserve">3.5.4 Capital Structure</w:t>
      </w:r>
    </w:p>
    <w:p>
      <w:pPr>
        <w:pStyle w:val="Compact"/>
        <w:numPr>
          <w:ilvl w:val="0"/>
          <w:numId w:val="1055"/>
        </w:numPr>
      </w:pPr>
      <w:r>
        <w:t xml:space="preserve">Access to foreign debt markets</w:t>
      </w:r>
    </w:p>
    <w:p>
      <w:pPr>
        <w:pStyle w:val="Compact"/>
        <w:numPr>
          <w:ilvl w:val="0"/>
          <w:numId w:val="1055"/>
        </w:numPr>
      </w:pPr>
      <w:r>
        <w:t xml:space="preserve">Currency matching strategies (financing in same currency as revenues)</w:t>
      </w:r>
    </w:p>
    <w:p>
      <w:pPr>
        <w:pStyle w:val="Compact"/>
        <w:numPr>
          <w:ilvl w:val="0"/>
          <w:numId w:val="1055"/>
        </w:numPr>
      </w:pPr>
      <w:r>
        <w:t xml:space="preserve">Different optimal leverage ratios in different countries</w:t>
      </w:r>
    </w:p>
    <w:bookmarkEnd w:id="80"/>
    <w:bookmarkEnd w:id="81"/>
    <w:bookmarkStart w:id="85" w:name="modified-financial-instruments"/>
    <w:p>
      <w:pPr>
        <w:pStyle w:val="Heading2"/>
      </w:pPr>
      <w:r>
        <w:t xml:space="preserve">3.6 Modified Financial Instruments</w:t>
      </w:r>
    </w:p>
    <w:p>
      <w:pPr>
        <w:pStyle w:val="FirstParagraph"/>
      </w:pPr>
      <w:r>
        <w:t xml:space="preserve">International finance has adapted standard instruments:</w:t>
      </w:r>
    </w:p>
    <w:bookmarkStart w:id="82" w:name="currency-derivatives"/>
    <w:p>
      <w:pPr>
        <w:pStyle w:val="Heading3"/>
      </w:pPr>
      <w:r>
        <w:t xml:space="preserve">3.6.1 Currency Derivatives</w:t>
      </w:r>
    </w:p>
    <w:p>
      <w:pPr>
        <w:pStyle w:val="Compact"/>
        <w:numPr>
          <w:ilvl w:val="0"/>
          <w:numId w:val="1056"/>
        </w:numPr>
      </w:pPr>
      <w:r>
        <w:t xml:space="preserve">Forward contracts</w:t>
      </w:r>
    </w:p>
    <w:p>
      <w:pPr>
        <w:pStyle w:val="Compact"/>
        <w:numPr>
          <w:ilvl w:val="0"/>
          <w:numId w:val="1056"/>
        </w:numPr>
      </w:pPr>
      <w:r>
        <w:t xml:space="preserve">Futures</w:t>
      </w:r>
    </w:p>
    <w:p>
      <w:pPr>
        <w:pStyle w:val="Compact"/>
        <w:numPr>
          <w:ilvl w:val="0"/>
          <w:numId w:val="1056"/>
        </w:numPr>
      </w:pPr>
      <w:r>
        <w:t xml:space="preserve">Options on currencies</w:t>
      </w:r>
    </w:p>
    <w:p>
      <w:pPr>
        <w:pStyle w:val="Compact"/>
        <w:numPr>
          <w:ilvl w:val="0"/>
          <w:numId w:val="1056"/>
        </w:numPr>
      </w:pPr>
      <w:r>
        <w:t xml:space="preserve">Currency swaps</w:t>
      </w:r>
    </w:p>
    <w:bookmarkEnd w:id="82"/>
    <w:bookmarkStart w:id="83" w:name="interest-rate-instruments"/>
    <w:p>
      <w:pPr>
        <w:pStyle w:val="Heading3"/>
      </w:pPr>
      <w:r>
        <w:t xml:space="preserve">3.6.2 Interest Rate Instruments</w:t>
      </w:r>
    </w:p>
    <w:p>
      <w:pPr>
        <w:pStyle w:val="Compact"/>
        <w:numPr>
          <w:ilvl w:val="0"/>
          <w:numId w:val="1057"/>
        </w:numPr>
      </w:pPr>
      <w:r>
        <w:t xml:space="preserve">Cross-currency interest rate swaps</w:t>
      </w:r>
    </w:p>
    <w:p>
      <w:pPr>
        <w:pStyle w:val="Compact"/>
        <w:numPr>
          <w:ilvl w:val="0"/>
          <w:numId w:val="1057"/>
        </w:numPr>
      </w:pPr>
      <w:r>
        <w:t xml:space="preserve">International bonds (Eurobonds, foreign bonds)</w:t>
      </w:r>
    </w:p>
    <w:bookmarkEnd w:id="83"/>
    <w:bookmarkStart w:id="84" w:name="trade-finance-instruments"/>
    <w:p>
      <w:pPr>
        <w:pStyle w:val="Heading3"/>
      </w:pPr>
      <w:r>
        <w:t xml:space="preserve">3.6.3 Trade Finance Instruments</w:t>
      </w:r>
    </w:p>
    <w:p>
      <w:pPr>
        <w:pStyle w:val="Compact"/>
        <w:numPr>
          <w:ilvl w:val="0"/>
          <w:numId w:val="1058"/>
        </w:numPr>
      </w:pPr>
      <w:r>
        <w:t xml:space="preserve">Letters of credit</w:t>
      </w:r>
    </w:p>
    <w:p>
      <w:pPr>
        <w:pStyle w:val="Compact"/>
        <w:numPr>
          <w:ilvl w:val="0"/>
          <w:numId w:val="1058"/>
        </w:numPr>
      </w:pPr>
      <w:r>
        <w:t xml:space="preserve">Banker’s acceptances</w:t>
      </w:r>
    </w:p>
    <w:p>
      <w:pPr>
        <w:pStyle w:val="Compact"/>
        <w:numPr>
          <w:ilvl w:val="0"/>
          <w:numId w:val="1058"/>
        </w:numPr>
      </w:pPr>
      <w:r>
        <w:t xml:space="preserve">Documentary collections</w:t>
      </w:r>
    </w:p>
    <w:p>
      <w:pPr>
        <w:pStyle w:val="FirstParagraph"/>
      </w:pPr>
      <w:r>
        <w:rPr>
          <w:b/>
          <w:bCs/>
        </w:rPr>
        <w:t xml:space="preserve">Preview:</w:t>
      </w:r>
      <w:r>
        <w:t xml:space="preserve"> </w:t>
      </w:r>
      <w:r>
        <w:t xml:space="preserve">We’ll study many of these in detail in later chapters.</w:t>
      </w:r>
    </w:p>
    <w:p>
      <w:r>
        <w:pict>
          <v:rect style="width:0;height:1.5pt" o:hralign="center" o:hrstd="t" o:hr="t"/>
        </w:pict>
      </w:r>
    </w:p>
    <w:bookmarkEnd w:id="84"/>
    <w:bookmarkEnd w:id="85"/>
    <w:bookmarkEnd w:id="86"/>
    <w:bookmarkStart w:id="101" w:name="the-globalization-process"/>
    <w:p>
      <w:pPr>
        <w:pStyle w:val="Heading1"/>
      </w:pPr>
      <w:r>
        <w:t xml:space="preserve">4. The Globalization Process</w:t>
      </w:r>
    </w:p>
    <w:bookmarkStart w:id="88" w:name="introducing-ganado-corporation"/>
    <w:p>
      <w:pPr>
        <w:pStyle w:val="Heading2"/>
      </w:pPr>
      <w:r>
        <w:t xml:space="preserve">4.1 Introducing Ganado Corporation</w:t>
      </w:r>
    </w:p>
    <w:p>
      <w:pPr>
        <w:pStyle w:val="FirstParagraph"/>
      </w:pPr>
      <w:r>
        <w:rPr>
          <w:b/>
          <w:bCs/>
        </w:rPr>
        <w:t xml:space="preserve">Ganado is our textbook’s case company we’ll follow throughout the semester.</w:t>
      </w:r>
    </w:p>
    <w:bookmarkStart w:id="87" w:name="background"/>
    <w:p>
      <w:pPr>
        <w:pStyle w:val="Heading3"/>
      </w:pPr>
      <w:r>
        <w:t xml:space="preserve">4.1.1 Background</w:t>
      </w:r>
    </w:p>
    <w:p>
      <w:pPr>
        <w:pStyle w:val="Compact"/>
        <w:numPr>
          <w:ilvl w:val="0"/>
          <w:numId w:val="1059"/>
        </w:numPr>
      </w:pPr>
      <w:r>
        <w:t xml:space="preserve">Founded 1948 in Los Angeles</w:t>
      </w:r>
    </w:p>
    <w:p>
      <w:pPr>
        <w:pStyle w:val="Compact"/>
        <w:numPr>
          <w:ilvl w:val="0"/>
          <w:numId w:val="1059"/>
        </w:numPr>
      </w:pPr>
      <w:r>
        <w:t xml:space="preserve">Originally family-owned telecommunications equipment manufacturer</w:t>
      </w:r>
    </w:p>
    <w:p>
      <w:pPr>
        <w:pStyle w:val="Compact"/>
        <w:numPr>
          <w:ilvl w:val="0"/>
          <w:numId w:val="1059"/>
        </w:numPr>
      </w:pPr>
      <w:r>
        <w:t xml:space="preserve">Went public (IPO) in 1988 - became a publicly traded company</w:t>
      </w:r>
    </w:p>
    <w:p>
      <w:pPr>
        <w:pStyle w:val="Compact"/>
        <w:numPr>
          <w:ilvl w:val="0"/>
          <w:numId w:val="1059"/>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87"/>
    <w:bookmarkEnd w:id="88"/>
    <w:bookmarkStart w:id="93" w:name="phase-1-domestic-to-international-trade"/>
    <w:p>
      <w:pPr>
        <w:pStyle w:val="Heading2"/>
      </w:pPr>
      <w:r>
        <w:t xml:space="preserve">4.2 Phase 1: Domestic to International Trade</w:t>
      </w:r>
    </w:p>
    <w:bookmarkStart w:id="89" w:name="domestic-phase-characteristics"/>
    <w:p>
      <w:pPr>
        <w:pStyle w:val="Heading3"/>
      </w:pPr>
      <w:r>
        <w:t xml:space="preserve">4.2.1 Domestic Phase Characteristics</w:t>
      </w:r>
    </w:p>
    <w:p>
      <w:pPr>
        <w:pStyle w:val="Compact"/>
        <w:numPr>
          <w:ilvl w:val="0"/>
          <w:numId w:val="1060"/>
        </w:numPr>
      </w:pPr>
      <w:r>
        <w:t xml:space="preserve">All suppliers are domestic (US)</w:t>
      </w:r>
    </w:p>
    <w:p>
      <w:pPr>
        <w:pStyle w:val="Compact"/>
        <w:numPr>
          <w:ilvl w:val="0"/>
          <w:numId w:val="1060"/>
        </w:numPr>
      </w:pPr>
      <w:r>
        <w:t xml:space="preserve">All customers are domestic (US)</w:t>
      </w:r>
    </w:p>
    <w:p>
      <w:pPr>
        <w:pStyle w:val="Compact"/>
        <w:numPr>
          <w:ilvl w:val="0"/>
          <w:numId w:val="1060"/>
        </w:numPr>
      </w:pPr>
      <w:r>
        <w:t xml:space="preserve">All transactions in US dollars</w:t>
      </w:r>
    </w:p>
    <w:p>
      <w:pPr>
        <w:pStyle w:val="Compact"/>
        <w:numPr>
          <w:ilvl w:val="0"/>
          <w:numId w:val="1060"/>
        </w:numPr>
      </w:pPr>
      <w:r>
        <w:t xml:space="preserve">Subject only to US laws and regulations</w:t>
      </w:r>
    </w:p>
    <w:p>
      <w:pPr>
        <w:pStyle w:val="Compact"/>
        <w:numPr>
          <w:ilvl w:val="0"/>
          <w:numId w:val="1060"/>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bookmarkEnd w:id="89"/>
    <w:bookmarkStart w:id="90" w:name="catalyst-for-change"/>
    <w:p>
      <w:pPr>
        <w:pStyle w:val="Heading3"/>
      </w:pPr>
      <w:r>
        <w:t xml:space="preserve">4.2.2 Catalyst for Change</w:t>
      </w:r>
    </w:p>
    <w:p>
      <w:pPr>
        <w:pStyle w:val="FirstParagraph"/>
      </w:pPr>
      <w:r>
        <w:t xml:space="preserve">NAFTA (North American Free Trade Agreement) created opportunities for trade with Mexico and Canada.</w:t>
      </w:r>
    </w:p>
    <w:bookmarkEnd w:id="90"/>
    <w:bookmarkStart w:id="91" w:name="international-trade-phase"/>
    <w:p>
      <w:pPr>
        <w:pStyle w:val="Heading3"/>
      </w:pPr>
      <w:r>
        <w:t xml:space="preserve">4.2.3 International Trade Phase</w:t>
      </w:r>
    </w:p>
    <w:p>
      <w:pPr>
        <w:pStyle w:val="Compact"/>
        <w:numPr>
          <w:ilvl w:val="0"/>
          <w:numId w:val="1061"/>
        </w:numPr>
      </w:pPr>
      <w:r>
        <w:t xml:space="preserve">BEGIN importing from Mexican suppliers</w:t>
      </w:r>
    </w:p>
    <w:p>
      <w:pPr>
        <w:pStyle w:val="Compact"/>
        <w:numPr>
          <w:ilvl w:val="0"/>
          <w:numId w:val="1061"/>
        </w:numPr>
      </w:pPr>
      <w:r>
        <w:t xml:space="preserve">BEGIN exporting to Canadian customers</w:t>
      </w:r>
    </w:p>
    <w:p>
      <w:pPr>
        <w:pStyle w:val="Compact"/>
        <w:numPr>
          <w:ilvl w:val="0"/>
          <w:numId w:val="1061"/>
        </w:numPr>
      </w:pPr>
      <w:r>
        <w:t xml:space="preserve">NOW dealing with multiple currencies (USD, MXN, CAD)</w:t>
      </w:r>
    </w:p>
    <w:bookmarkEnd w:id="91"/>
    <w:bookmarkStart w:id="92" w:name="two-new-major-challenges"/>
    <w:p>
      <w:pPr>
        <w:pStyle w:val="Heading3"/>
      </w:pPr>
      <w:r>
        <w:t xml:space="preserve">4.2.4 Two New Major Challenges</w:t>
      </w:r>
    </w:p>
    <w:p>
      <w:pPr>
        <w:pStyle w:val="FirstParagraph"/>
      </w:pPr>
      <w:r>
        <w:rPr>
          <w:b/>
          <w:bCs/>
        </w:rPr>
        <w:t xml:space="preserve">1. Foreign Exchange Risk:</w:t>
      </w:r>
    </w:p>
    <w:p>
      <w:pPr>
        <w:pStyle w:val="Compact"/>
        <w:numPr>
          <w:ilvl w:val="0"/>
          <w:numId w:val="1062"/>
        </w:numPr>
      </w:pPr>
      <w:r>
        <w:t xml:space="preserve">Which currency to quote prices in?</w:t>
      </w:r>
    </w:p>
    <w:p>
      <w:pPr>
        <w:pStyle w:val="Compact"/>
        <w:numPr>
          <w:ilvl w:val="0"/>
          <w:numId w:val="1062"/>
        </w:numPr>
      </w:pPr>
      <w:r>
        <w:t xml:space="preserve">Which currency to accept payment in?</w:t>
      </w:r>
    </w:p>
    <w:p>
      <w:pPr>
        <w:pStyle w:val="Compact"/>
        <w:numPr>
          <w:ilvl w:val="0"/>
          <w:numId w:val="1062"/>
        </w:numPr>
      </w:pPr>
      <w:r>
        <w:t xml:space="preserve">Which currency to pay suppliers in?</w:t>
      </w:r>
    </w:p>
    <w:p>
      <w:pPr>
        <w:pStyle w:val="Compact"/>
        <w:numPr>
          <w:ilvl w:val="0"/>
          <w:numId w:val="1062"/>
        </w:numPr>
      </w:pPr>
      <w:r>
        <w:t xml:space="preserve">What if exchange rates change between agreement and payment?</w:t>
      </w:r>
    </w:p>
    <w:p>
      <w:pPr>
        <w:pStyle w:val="FirstParagraph"/>
      </w:pPr>
      <w:r>
        <w:rPr>
          <w:b/>
          <w:bCs/>
        </w:rPr>
        <w:t xml:space="preserve">Example:</w:t>
      </w:r>
    </w:p>
    <w:p>
      <w:pPr>
        <w:pStyle w:val="SourceCode"/>
      </w:pPr>
      <w:r>
        <w:rPr>
          <w:rStyle w:val="VerbatimChar"/>
        </w:rPr>
        <w:t xml:space="preserve">Foreign Exchange Risk Example:</w:t>
      </w:r>
    </w:p>
    <w:p>
      <w:pPr>
        <w:pStyle w:val="SourceCode"/>
      </w:pPr>
      <w:r>
        <w:rPr>
          <w:rStyle w:val="VerbatimChar"/>
        </w:rPr>
        <w:t xml:space="preserve">Quoted price: CAD 1000 </w:t>
      </w:r>
    </w:p>
    <w:p>
      <w:pPr>
        <w:pStyle w:val="SourceCode"/>
      </w:pPr>
      <w:r>
        <w:rPr>
          <w:rStyle w:val="VerbatimChar"/>
        </w:rPr>
        <w:t xml:space="preserve">Exchange rate at quote: CAD 1.25 = USD 1.00</w:t>
      </w:r>
    </w:p>
    <w:p>
      <w:pPr>
        <w:pStyle w:val="SourceCode"/>
      </w:pPr>
      <w:r>
        <w:rPr>
          <w:rStyle w:val="VerbatimChar"/>
        </w:rPr>
        <w:t xml:space="preserve">Expected USD receipt: $ 800 </w:t>
      </w:r>
    </w:p>
    <w:p>
      <w:pPr>
        <w:pStyle w:val="SourceCode"/>
      </w:pPr>
      <w:r>
        <w:rPr>
          <w:rStyle w:val="VerbatimChar"/>
        </w:rPr>
        <w:t xml:space="preserve">Exchange rate at payment: CAD 1.3 = USD 1.00</w:t>
      </w:r>
    </w:p>
    <w:p>
      <w:pPr>
        <w:pStyle w:val="SourceCode"/>
      </w:pPr>
      <w:r>
        <w:rPr>
          <w:rStyle w:val="VerbatimChar"/>
        </w:rPr>
        <w:t xml:space="preserve">Actual USD receipt: $ 769.23 </w:t>
      </w:r>
    </w:p>
    <w:p>
      <w:pPr>
        <w:pStyle w:val="SourceCode"/>
      </w:pPr>
      <w:r>
        <w:rPr>
          <w:rStyle w:val="VerbatimChar"/>
        </w:rPr>
        <w:t xml:space="preserve">Loss due to currency movement: $ -30.77 </w:t>
      </w:r>
    </w:p>
    <w:p>
      <w:pPr>
        <w:pStyle w:val="FirstParagraph"/>
      </w:pPr>
      <w:r>
        <w:rPr>
          <w:b/>
          <w:bCs/>
        </w:rPr>
        <w:t xml:space="preserve">2. Credit Risk Assessment:</w:t>
      </w:r>
    </w:p>
    <w:p>
      <w:pPr>
        <w:pStyle w:val="Compact"/>
        <w:numPr>
          <w:ilvl w:val="0"/>
          <w:numId w:val="1063"/>
        </w:numPr>
      </w:pPr>
      <w:r>
        <w:t xml:space="preserve">How creditworthy is Mexican supplier?</w:t>
      </w:r>
    </w:p>
    <w:p>
      <w:pPr>
        <w:pStyle w:val="Compact"/>
        <w:numPr>
          <w:ilvl w:val="0"/>
          <w:numId w:val="1063"/>
        </w:numPr>
      </w:pPr>
      <w:r>
        <w:t xml:space="preserve">Will Canadian customer actually pay?</w:t>
      </w:r>
    </w:p>
    <w:p>
      <w:pPr>
        <w:pStyle w:val="Compact"/>
        <w:numPr>
          <w:ilvl w:val="0"/>
          <w:numId w:val="1063"/>
        </w:numPr>
      </w:pPr>
      <w:r>
        <w:t xml:space="preserve">Different business practices</w:t>
      </w:r>
    </w:p>
    <w:p>
      <w:pPr>
        <w:pStyle w:val="Compact"/>
        <w:numPr>
          <w:ilvl w:val="0"/>
          <w:numId w:val="1063"/>
        </w:numPr>
      </w:pPr>
      <w:r>
        <w:t xml:space="preserve">Different legal systems</w:t>
      </w:r>
    </w:p>
    <w:p>
      <w:pPr>
        <w:pStyle w:val="Compact"/>
        <w:numPr>
          <w:ilvl w:val="0"/>
          <w:numId w:val="1063"/>
        </w:numPr>
      </w:pPr>
      <w:r>
        <w:t xml:space="preserve">Different bankruptcy laws</w:t>
      </w:r>
    </w:p>
    <w:p>
      <w:pPr>
        <w:pStyle w:val="Compact"/>
        <w:numPr>
          <w:ilvl w:val="0"/>
          <w:numId w:val="106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92"/>
    <w:bookmarkEnd w:id="93"/>
    <w:bookmarkStart w:id="95" w:name="Xcfc4a1c237a74c3c3b605dbed4549fe9b9d71c5"/>
    <w:p>
      <w:pPr>
        <w:pStyle w:val="Heading2"/>
      </w:pPr>
      <w:r>
        <w:t xml:space="preserve">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bookmarkStart w:id="94" w:name="why-make-this-leap"/>
    <w:p>
      <w:pPr>
        <w:pStyle w:val="Heading3"/>
      </w:pPr>
      <w:r>
        <w:t xml:space="preserve">4.3.1 Why Make This Leap?</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4"/>
        </w:numPr>
      </w:pPr>
      <w:r>
        <w:t xml:space="preserve">Produce in foreign markets to serve local demand</w:t>
      </w:r>
    </w:p>
    <w:p>
      <w:pPr>
        <w:pStyle w:val="Compact"/>
        <w:numPr>
          <w:ilvl w:val="0"/>
          <w:numId w:val="1064"/>
        </w:numPr>
      </w:pPr>
      <w:r>
        <w:t xml:space="preserve">Overcome trade barriers</w:t>
      </w:r>
    </w:p>
    <w:p>
      <w:pPr>
        <w:pStyle w:val="Compact"/>
        <w:numPr>
          <w:ilvl w:val="0"/>
          <w:numId w:val="1064"/>
        </w:numPr>
      </w:pPr>
      <w:r>
        <w:t xml:space="preserve">Get closer to customers</w:t>
      </w:r>
    </w:p>
    <w:p>
      <w:pPr>
        <w:pStyle w:val="Compact"/>
        <w:numPr>
          <w:ilvl w:val="0"/>
          <w:numId w:val="1064"/>
        </w:numPr>
      </w:pPr>
      <w:r>
        <w:t xml:space="preserve">Example: US auto manufacturers in Europe</w:t>
      </w:r>
    </w:p>
    <w:p>
      <w:pPr>
        <w:pStyle w:val="FirstParagraph"/>
      </w:pPr>
      <w:r>
        <w:rPr>
          <w:b/>
          <w:bCs/>
        </w:rPr>
        <w:t xml:space="preserve">2. Raw Material Seekers:</w:t>
      </w:r>
    </w:p>
    <w:p>
      <w:pPr>
        <w:pStyle w:val="Compact"/>
        <w:numPr>
          <w:ilvl w:val="0"/>
          <w:numId w:val="1065"/>
        </w:numPr>
      </w:pPr>
      <w:r>
        <w:t xml:space="preserve">Access natural resources where they’re located</w:t>
      </w:r>
    </w:p>
    <w:p>
      <w:pPr>
        <w:pStyle w:val="Compact"/>
        <w:numPr>
          <w:ilvl w:val="0"/>
          <w:numId w:val="1065"/>
        </w:numPr>
      </w:pPr>
      <w:r>
        <w:t xml:space="preserve">Mining, oil, forestry, agricultural products</w:t>
      </w:r>
    </w:p>
    <w:p>
      <w:pPr>
        <w:pStyle w:val="Compact"/>
        <w:numPr>
          <w:ilvl w:val="0"/>
          <w:numId w:val="1065"/>
        </w:numPr>
      </w:pPr>
      <w:r>
        <w:t xml:space="preserve">Example: Oil companies drilling in Middle East</w:t>
      </w:r>
    </w:p>
    <w:p>
      <w:pPr>
        <w:pStyle w:val="FirstParagraph"/>
      </w:pPr>
      <w:r>
        <w:rPr>
          <w:b/>
          <w:bCs/>
        </w:rPr>
        <w:t xml:space="preserve">3. Production Efficiency Seekers:</w:t>
      </w:r>
    </w:p>
    <w:p>
      <w:pPr>
        <w:pStyle w:val="Compact"/>
        <w:numPr>
          <w:ilvl w:val="0"/>
          <w:numId w:val="1066"/>
        </w:numPr>
      </w:pPr>
      <w:r>
        <w:t xml:space="preserve">Take advantage of lower-cost factors of production</w:t>
      </w:r>
    </w:p>
    <w:p>
      <w:pPr>
        <w:pStyle w:val="Compact"/>
        <w:numPr>
          <w:ilvl w:val="0"/>
          <w:numId w:val="1066"/>
        </w:numPr>
      </w:pPr>
      <w:r>
        <w:t xml:space="preserve">Especially labor</w:t>
      </w:r>
    </w:p>
    <w:p>
      <w:pPr>
        <w:pStyle w:val="Compact"/>
        <w:numPr>
          <w:ilvl w:val="0"/>
          <w:numId w:val="1066"/>
        </w:numPr>
      </w:pPr>
      <w:r>
        <w:t xml:space="preserve">Example: Electronics assembly in Malaysia, Vietnam</w:t>
      </w:r>
    </w:p>
    <w:p>
      <w:pPr>
        <w:pStyle w:val="FirstParagraph"/>
      </w:pPr>
      <w:r>
        <w:rPr>
          <w:b/>
          <w:bCs/>
        </w:rPr>
        <w:t xml:space="preserve">4. Knowledge Seekers:</w:t>
      </w:r>
    </w:p>
    <w:p>
      <w:pPr>
        <w:pStyle w:val="Compact"/>
        <w:numPr>
          <w:ilvl w:val="0"/>
          <w:numId w:val="1067"/>
        </w:numPr>
      </w:pPr>
      <w:r>
        <w:t xml:space="preserve">Access technology, expertise, innovation</w:t>
      </w:r>
    </w:p>
    <w:p>
      <w:pPr>
        <w:pStyle w:val="Compact"/>
        <w:numPr>
          <w:ilvl w:val="0"/>
          <w:numId w:val="1067"/>
        </w:numPr>
      </w:pPr>
      <w:r>
        <w:t xml:space="preserve">Example: Japanese and German companies buying US tech firms</w:t>
      </w:r>
    </w:p>
    <w:p>
      <w:pPr>
        <w:pStyle w:val="FirstParagraph"/>
      </w:pPr>
      <w:r>
        <w:rPr>
          <w:b/>
          <w:bCs/>
        </w:rPr>
        <w:t xml:space="preserve">5. Political Safety Seekers:</w:t>
      </w:r>
    </w:p>
    <w:p>
      <w:pPr>
        <w:pStyle w:val="Compact"/>
        <w:numPr>
          <w:ilvl w:val="0"/>
          <w:numId w:val="1068"/>
        </w:numPr>
      </w:pPr>
      <w:r>
        <w:t xml:space="preserve">Diversify political risk</w:t>
      </w:r>
    </w:p>
    <w:p>
      <w:pPr>
        <w:pStyle w:val="Compact"/>
        <w:numPr>
          <w:ilvl w:val="0"/>
          <w:numId w:val="1068"/>
        </w:numPr>
      </w:pPr>
      <w:r>
        <w:t xml:space="preserve">Example: Hong Kong firms investing in Canada, Australia before 1997 Chinese takeover</w:t>
      </w:r>
    </w:p>
    <w:p>
      <w:pPr>
        <w:pStyle w:val="FirstParagraph"/>
      </w:pPr>
      <w:r>
        <w:rPr>
          <w:b/>
          <w:bCs/>
        </w:rPr>
        <w:t xml:space="preserve">Important Note:</w:t>
      </w:r>
      <w:r>
        <w:t xml:space="preserve"> </w:t>
      </w:r>
      <w:r>
        <w:t xml:space="preserve">These are not mutually exclusive. One investment may serve multiple purposes.</w:t>
      </w:r>
    </w:p>
    <w:bookmarkEnd w:id="94"/>
    <w:bookmarkEnd w:id="95"/>
    <w:bookmarkStart w:id="97" w:name="the-foreign-direct-investment-spectrum"/>
    <w:p>
      <w:pPr>
        <w:pStyle w:val="Heading2"/>
      </w:pPr>
      <w:r>
        <w:t xml:space="preserve">4.4 The Foreign Direct Investment Spectrum</w:t>
      </w:r>
    </w:p>
    <w:bookmarkStart w:id="96" w:name="increasing-foreign-presence-low-to-high"/>
    <w:p>
      <w:pPr>
        <w:pStyle w:val="Heading3"/>
      </w:pPr>
      <w:r>
        <w:t xml:space="preserve">4.4.1 Increasing Foreign Presence (Low to High)</w:t>
      </w:r>
    </w:p>
    <w:p>
      <w:pPr>
        <w:pStyle w:val="FirstParagraph"/>
      </w:pPr>
      <w:r>
        <w:rPr>
          <w:b/>
          <w:bCs/>
        </w:rPr>
        <w:t xml:space="preserve">1. Exporting from Home Production</w:t>
      </w:r>
    </w:p>
    <w:p>
      <w:pPr>
        <w:pStyle w:val="Compact"/>
        <w:numPr>
          <w:ilvl w:val="0"/>
          <w:numId w:val="1069"/>
        </w:numPr>
      </w:pPr>
      <w:r>
        <w:t xml:space="preserve">Lowest commitment</w:t>
      </w:r>
    </w:p>
    <w:p>
      <w:pPr>
        <w:pStyle w:val="Compact"/>
        <w:numPr>
          <w:ilvl w:val="0"/>
          <w:numId w:val="1069"/>
        </w:numPr>
      </w:pPr>
      <w:r>
        <w:t xml:space="preserve">Maintain control</w:t>
      </w:r>
    </w:p>
    <w:p>
      <w:pPr>
        <w:pStyle w:val="Compact"/>
        <w:numPr>
          <w:ilvl w:val="0"/>
          <w:numId w:val="1069"/>
        </w:numPr>
      </w:pPr>
      <w:r>
        <w:t xml:space="preserve">Limited foreign presence</w:t>
      </w:r>
    </w:p>
    <w:p>
      <w:pPr>
        <w:pStyle w:val="FirstParagraph"/>
      </w:pPr>
      <w:r>
        <w:rPr>
          <w:b/>
          <w:bCs/>
        </w:rPr>
        <w:t xml:space="preserve">2. Licensing to Foreign Firms</w:t>
      </w:r>
    </w:p>
    <w:p>
      <w:pPr>
        <w:pStyle w:val="Compact"/>
        <w:numPr>
          <w:ilvl w:val="0"/>
          <w:numId w:val="1070"/>
        </w:numPr>
      </w:pPr>
      <w:r>
        <w:t xml:space="preserve">Foreign company produces under your brand/technology</w:t>
      </w:r>
    </w:p>
    <w:p>
      <w:pPr>
        <w:pStyle w:val="Compact"/>
        <w:numPr>
          <w:ilvl w:val="0"/>
          <w:numId w:val="1070"/>
        </w:numPr>
      </w:pPr>
      <w:r>
        <w:t xml:space="preserve">Receive royalties</w:t>
      </w:r>
    </w:p>
    <w:p>
      <w:pPr>
        <w:pStyle w:val="Compact"/>
        <w:numPr>
          <w:ilvl w:val="0"/>
          <w:numId w:val="1070"/>
        </w:numPr>
      </w:pPr>
      <w:r>
        <w:t xml:space="preserve">Low capital investment</w:t>
      </w:r>
    </w:p>
    <w:p>
      <w:pPr>
        <w:pStyle w:val="Compact"/>
        <w:numPr>
          <w:ilvl w:val="0"/>
          <w:numId w:val="1070"/>
        </w:numPr>
      </w:pPr>
      <w:r>
        <w:t xml:space="preserve">Risk: Creating future competitors, loss of quality control</w:t>
      </w:r>
    </w:p>
    <w:p>
      <w:pPr>
        <w:pStyle w:val="FirstParagraph"/>
      </w:pPr>
      <w:r>
        <w:rPr>
          <w:b/>
          <w:bCs/>
        </w:rPr>
        <w:t xml:space="preserve">3. Joint Venture</w:t>
      </w:r>
    </w:p>
    <w:p>
      <w:pPr>
        <w:pStyle w:val="Compact"/>
        <w:numPr>
          <w:ilvl w:val="0"/>
          <w:numId w:val="1071"/>
        </w:numPr>
      </w:pPr>
      <w:r>
        <w:t xml:space="preserve">Partner with local firm (often 50-50 ownership)</w:t>
      </w:r>
    </w:p>
    <w:p>
      <w:pPr>
        <w:pStyle w:val="Compact"/>
        <w:numPr>
          <w:ilvl w:val="0"/>
          <w:numId w:val="1071"/>
        </w:numPr>
      </w:pPr>
      <w:r>
        <w:t xml:space="preserve">Share investment, share risks, share rewards</w:t>
      </w:r>
    </w:p>
    <w:p>
      <w:pPr>
        <w:pStyle w:val="Compact"/>
        <w:numPr>
          <w:ilvl w:val="0"/>
          <w:numId w:val="1071"/>
        </w:numPr>
      </w:pPr>
      <w:r>
        <w:t xml:space="preserve">Common in countries requiring local partners</w:t>
      </w:r>
    </w:p>
    <w:p>
      <w:pPr>
        <w:pStyle w:val="Compact"/>
        <w:numPr>
          <w:ilvl w:val="0"/>
          <w:numId w:val="1071"/>
        </w:numPr>
      </w:pPr>
      <w:r>
        <w:t xml:space="preserve">Challenge: Potential conflicts with partner</w:t>
      </w:r>
    </w:p>
    <w:p>
      <w:pPr>
        <w:pStyle w:val="FirstParagraph"/>
      </w:pPr>
      <w:r>
        <w:rPr>
          <w:b/>
          <w:bCs/>
        </w:rPr>
        <w:t xml:space="preserve">4. Wholly-Owned Subsidiary - Greenfield</w:t>
      </w:r>
    </w:p>
    <w:p>
      <w:pPr>
        <w:pStyle w:val="Compact"/>
        <w:numPr>
          <w:ilvl w:val="0"/>
          <w:numId w:val="1072"/>
        </w:numPr>
      </w:pPr>
      <w:r>
        <w:t xml:space="preserve">Build new facilities from scratch (</w:t>
      </w:r>
      <w:r>
        <w:t xml:space="preserve">“greenfield”</w:t>
      </w:r>
      <w:r>
        <w:t xml:space="preserve">)</w:t>
      </w:r>
    </w:p>
    <w:p>
      <w:pPr>
        <w:pStyle w:val="Compact"/>
        <w:numPr>
          <w:ilvl w:val="0"/>
          <w:numId w:val="1072"/>
        </w:numPr>
      </w:pPr>
      <w:r>
        <w:t xml:space="preserve">Full control</w:t>
      </w:r>
    </w:p>
    <w:p>
      <w:pPr>
        <w:pStyle w:val="Compact"/>
        <w:numPr>
          <w:ilvl w:val="0"/>
          <w:numId w:val="1072"/>
        </w:numPr>
      </w:pPr>
      <w:r>
        <w:t xml:space="preserve">High investment</w:t>
      </w:r>
    </w:p>
    <w:p>
      <w:pPr>
        <w:pStyle w:val="Compact"/>
        <w:numPr>
          <w:ilvl w:val="0"/>
          <w:numId w:val="1072"/>
        </w:numPr>
      </w:pPr>
      <w:r>
        <w:t xml:space="preserve">Slow to establish</w:t>
      </w:r>
    </w:p>
    <w:p>
      <w:pPr>
        <w:pStyle w:val="FirstParagraph"/>
      </w:pPr>
      <w:r>
        <w:rPr>
          <w:b/>
          <w:bCs/>
        </w:rPr>
        <w:t xml:space="preserve">5. Wholly-Owned Subsidiary - Acquisition</w:t>
      </w:r>
    </w:p>
    <w:p>
      <w:pPr>
        <w:pStyle w:val="Compact"/>
        <w:numPr>
          <w:ilvl w:val="0"/>
          <w:numId w:val="1073"/>
        </w:numPr>
      </w:pPr>
      <w:r>
        <w:t xml:space="preserve">Buy existing foreign company</w:t>
      </w:r>
    </w:p>
    <w:p>
      <w:pPr>
        <w:pStyle w:val="Compact"/>
        <w:numPr>
          <w:ilvl w:val="0"/>
          <w:numId w:val="1073"/>
        </w:numPr>
      </w:pPr>
      <w:r>
        <w:t xml:space="preserve">Fastest market entry</w:t>
      </w:r>
    </w:p>
    <w:p>
      <w:pPr>
        <w:pStyle w:val="Compact"/>
        <w:numPr>
          <w:ilvl w:val="0"/>
          <w:numId w:val="1073"/>
        </w:numPr>
      </w:pPr>
      <w:r>
        <w:t xml:space="preserve">Immediate operations</w:t>
      </w:r>
    </w:p>
    <w:p>
      <w:pPr>
        <w:pStyle w:val="Compact"/>
        <w:numPr>
          <w:ilvl w:val="0"/>
          <w:numId w:val="1073"/>
        </w:numPr>
      </w:pPr>
      <w:r>
        <w:t xml:space="preserve">Integration challenges</w:t>
      </w:r>
    </w:p>
    <w:p>
      <w:pPr>
        <w:pStyle w:val="Compact"/>
        <w:numPr>
          <w:ilvl w:val="0"/>
          <w:numId w:val="1073"/>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4"/>
        </w:numPr>
      </w:pPr>
      <w:r>
        <w:rPr>
          <w:b/>
          <w:bCs/>
        </w:rPr>
        <w:t xml:space="preserve">Foreign presence increases</w:t>
      </w:r>
      <w:r>
        <w:t xml:space="preserve"> </w:t>
      </w:r>
      <w:r>
        <w:t xml:space="preserve">(more physical assets, more employees abroad)</w:t>
      </w:r>
    </w:p>
    <w:p>
      <w:pPr>
        <w:pStyle w:val="Compact"/>
        <w:numPr>
          <w:ilvl w:val="0"/>
          <w:numId w:val="1074"/>
        </w:numPr>
      </w:pPr>
      <w:r>
        <w:rPr>
          <w:b/>
          <w:bCs/>
        </w:rPr>
        <w:t xml:space="preserve">Managerial intensity increases</w:t>
      </w:r>
      <w:r>
        <w:t xml:space="preserve"> </w:t>
      </w:r>
      <w:r>
        <w:t xml:space="preserve">(more complex to manage)</w:t>
      </w:r>
    </w:p>
    <w:p>
      <w:pPr>
        <w:pStyle w:val="Compact"/>
        <w:numPr>
          <w:ilvl w:val="0"/>
          <w:numId w:val="1074"/>
        </w:numPr>
      </w:pPr>
      <w:r>
        <w:rPr>
          <w:b/>
          <w:bCs/>
        </w:rPr>
        <w:t xml:space="preserve">Capital at risk increases</w:t>
      </w:r>
      <w:r>
        <w:t xml:space="preserve"> </w:t>
      </w:r>
      <w:r>
        <w:t xml:space="preserve">(more investment)</w:t>
      </w:r>
    </w:p>
    <w:p>
      <w:pPr>
        <w:pStyle w:val="Compact"/>
        <w:numPr>
          <w:ilvl w:val="0"/>
          <w:numId w:val="1074"/>
        </w:numPr>
      </w:pPr>
      <w:r>
        <w:rPr>
          <w:b/>
          <w:bCs/>
        </w:rPr>
        <w:t xml:space="preserve">Potential returns increase</w:t>
      </w:r>
      <w:r>
        <w:t xml:space="preserve"> </w:t>
      </w:r>
      <w:r>
        <w:t xml:space="preserve">(greater opportunities)</w:t>
      </w:r>
    </w:p>
    <w:bookmarkEnd w:id="96"/>
    <w:bookmarkEnd w:id="97"/>
    <w:bookmarkStart w:id="100" w:name="consolidation-challenges"/>
    <w:p>
      <w:pPr>
        <w:pStyle w:val="Heading2"/>
      </w:pPr>
      <w:r>
        <w:t xml:space="preserve">4.5 Consolidation Challenges</w:t>
      </w:r>
    </w:p>
    <w:p>
      <w:pPr>
        <w:pStyle w:val="FirstParagraph"/>
      </w:pPr>
      <w:r>
        <w:t xml:space="preserve">This is a critical practical issue. Once Ganado has foreign subsidiaries:</w:t>
      </w:r>
    </w:p>
    <w:p>
      <w:pPr>
        <w:pStyle w:val="Compact"/>
        <w:numPr>
          <w:ilvl w:val="0"/>
          <w:numId w:val="1075"/>
        </w:numPr>
      </w:pPr>
      <w:r>
        <w:t xml:space="preserve">European subsidiary keeping books in euros</w:t>
      </w:r>
    </w:p>
    <w:p>
      <w:pPr>
        <w:pStyle w:val="Compact"/>
        <w:numPr>
          <w:ilvl w:val="0"/>
          <w:numId w:val="1075"/>
        </w:numPr>
      </w:pPr>
      <w:r>
        <w:t xml:space="preserve">Chinese subsidiary keeping books in yuan</w:t>
      </w:r>
    </w:p>
    <w:p>
      <w:pPr>
        <w:pStyle w:val="Compact"/>
        <w:numPr>
          <w:ilvl w:val="0"/>
          <w:numId w:val="1075"/>
        </w:numPr>
      </w:pPr>
      <w:r>
        <w:t xml:space="preserve">US parent keeping books in dollars</w:t>
      </w:r>
    </w:p>
    <w:bookmarkStart w:id="98" w:name="the-problem"/>
    <w:p>
      <w:pPr>
        <w:pStyle w:val="Heading3"/>
      </w:pPr>
      <w:r>
        <w:t xml:space="preserve">4.5.1 The Problem</w:t>
      </w:r>
    </w:p>
    <w:p>
      <w:pPr>
        <w:pStyle w:val="FirstParagraph"/>
      </w:pPr>
      <w:r>
        <w:t xml:space="preserve">Ganado must periodically (quarterly, annually) produce consolidated financial statements in US dollars for:</w:t>
      </w:r>
    </w:p>
    <w:p>
      <w:pPr>
        <w:pStyle w:val="Compact"/>
        <w:numPr>
          <w:ilvl w:val="0"/>
          <w:numId w:val="1076"/>
        </w:numPr>
      </w:pPr>
      <w:r>
        <w:t xml:space="preserve">Shareholders</w:t>
      </w:r>
    </w:p>
    <w:p>
      <w:pPr>
        <w:pStyle w:val="Compact"/>
        <w:numPr>
          <w:ilvl w:val="0"/>
          <w:numId w:val="1076"/>
        </w:numPr>
      </w:pPr>
      <w:r>
        <w:t xml:space="preserve">SEC (Securities and Exchange Commission) regulations</w:t>
      </w:r>
    </w:p>
    <w:p>
      <w:pPr>
        <w:pStyle w:val="Compact"/>
        <w:numPr>
          <w:ilvl w:val="0"/>
          <w:numId w:val="1076"/>
        </w:numPr>
      </w:pPr>
      <w:r>
        <w:t xml:space="preserve">Tax purposes</w:t>
      </w:r>
    </w:p>
    <w:p>
      <w:pPr>
        <w:pStyle w:val="Compact"/>
        <w:numPr>
          <w:ilvl w:val="0"/>
          <w:numId w:val="1076"/>
        </w:numPr>
      </w:pPr>
      <w:r>
        <w:t xml:space="preserve">Performance evaluation</w:t>
      </w:r>
    </w:p>
    <w:bookmarkEnd w:id="98"/>
    <w:bookmarkStart w:id="99" w:name="the-process"/>
    <w:p>
      <w:pPr>
        <w:pStyle w:val="Heading3"/>
      </w:pPr>
      <w:r>
        <w:t xml:space="preserve">4.5.2 The Process</w:t>
      </w:r>
    </w:p>
    <w:p>
      <w:pPr>
        <w:pStyle w:val="Compact"/>
        <w:numPr>
          <w:ilvl w:val="0"/>
          <w:numId w:val="1077"/>
        </w:numPr>
      </w:pPr>
      <w:r>
        <w:t xml:space="preserve">Each subsidiary reports in local currency</w:t>
      </w:r>
    </w:p>
    <w:p>
      <w:pPr>
        <w:pStyle w:val="Compact"/>
        <w:numPr>
          <w:ilvl w:val="0"/>
          <w:numId w:val="1077"/>
        </w:numPr>
      </w:pPr>
      <w:r>
        <w:t xml:space="preserve">Convert to common currency (USD) using appropriate exchange rates</w:t>
      </w:r>
    </w:p>
    <w:p>
      <w:pPr>
        <w:pStyle w:val="Compact"/>
        <w:numPr>
          <w:ilvl w:val="0"/>
          <w:numId w:val="1077"/>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78"/>
        </w:numPr>
      </w:pPr>
      <w:r>
        <w:t xml:space="preserve">Foreign subsidiary performance may be stable</w:t>
      </w:r>
    </w:p>
    <w:p>
      <w:pPr>
        <w:pStyle w:val="Compact"/>
        <w:numPr>
          <w:ilvl w:val="0"/>
          <w:numId w:val="1078"/>
        </w:numPr>
      </w:pPr>
      <w:r>
        <w:t xml:space="preserve">BUT exchange rate changes make it look better or worse</w:t>
      </w:r>
    </w:p>
    <w:p>
      <w:pPr>
        <w:pStyle w:val="Compact"/>
        <w:numPr>
          <w:ilvl w:val="0"/>
          <w:numId w:val="1078"/>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99"/>
    <w:bookmarkEnd w:id="100"/>
    <w:bookmarkEnd w:id="101"/>
    <w:bookmarkStart w:id="111" w:name="limits-to-financial-globalization"/>
    <w:p>
      <w:pPr>
        <w:pStyle w:val="Heading1"/>
      </w:pPr>
      <w:r>
        <w:t xml:space="preserve">5. Limits to Financial Globalization</w:t>
      </w:r>
    </w:p>
    <w:bookmarkStart w:id="102" w:name="X190e849a22a1030cf04da3260b80586856138b6"/>
    <w:p>
      <w:pPr>
        <w:pStyle w:val="Heading2"/>
      </w:pPr>
      <w:r>
        <w:t xml:space="preserve">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102"/>
    <w:bookmarkStart w:id="105" w:name="the-twin-agency-problems"/>
    <w:p>
      <w:pPr>
        <w:pStyle w:val="Heading2"/>
      </w:pPr>
      <w:r>
        <w:t xml:space="preserve">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bookmarkStart w:id="103" w:name="Xb0f0b92404290fa619679e4225eda455267a424"/>
    <w:p>
      <w:pPr>
        <w:pStyle w:val="Heading3"/>
      </w:pPr>
      <w:r>
        <w:t xml:space="preserve">5.2.1 First Agency Problem - Corporate Insiders</w:t>
      </w:r>
    </w:p>
    <w:p>
      <w:pPr>
        <w:pStyle w:val="Compact"/>
        <w:numPr>
          <w:ilvl w:val="0"/>
          <w:numId w:val="1079"/>
        </w:numPr>
      </w:pPr>
      <w:r>
        <w:t xml:space="preserve">Do managers/executives pursue firm value maximization?</w:t>
      </w:r>
    </w:p>
    <w:p>
      <w:pPr>
        <w:pStyle w:val="Compact"/>
        <w:numPr>
          <w:ilvl w:val="0"/>
          <w:numId w:val="1079"/>
        </w:numPr>
      </w:pPr>
      <w:r>
        <w:t xml:space="preserve">OR do they pursue personal wealth/power?</w:t>
      </w:r>
    </w:p>
    <w:p>
      <w:pPr>
        <w:pStyle w:val="FirstParagraph"/>
      </w:pPr>
      <w:r>
        <w:rPr>
          <w:b/>
          <w:bCs/>
        </w:rPr>
        <w:t xml:space="preserve">Examples of Value-Destroying Insider Actions:</w:t>
      </w:r>
    </w:p>
    <w:p>
      <w:pPr>
        <w:pStyle w:val="Compact"/>
        <w:numPr>
          <w:ilvl w:val="0"/>
          <w:numId w:val="1080"/>
        </w:numPr>
      </w:pPr>
      <w:r>
        <w:t xml:space="preserve">Excessive compensation</w:t>
      </w:r>
    </w:p>
    <w:p>
      <w:pPr>
        <w:pStyle w:val="Compact"/>
        <w:numPr>
          <w:ilvl w:val="0"/>
          <w:numId w:val="1080"/>
        </w:numPr>
      </w:pPr>
      <w:r>
        <w:t xml:space="preserve">Empire building (growth for prestige, not returns)</w:t>
      </w:r>
    </w:p>
    <w:p>
      <w:pPr>
        <w:pStyle w:val="Compact"/>
        <w:numPr>
          <w:ilvl w:val="0"/>
          <w:numId w:val="1080"/>
        </w:numPr>
      </w:pPr>
      <w:r>
        <w:t xml:space="preserve">Resistance to beneficial takeovers</w:t>
      </w:r>
    </w:p>
    <w:p>
      <w:pPr>
        <w:pStyle w:val="Compact"/>
        <w:numPr>
          <w:ilvl w:val="0"/>
          <w:numId w:val="1080"/>
        </w:numPr>
      </w:pPr>
      <w:r>
        <w:t xml:space="preserve">Related-party transactions that benefit insiders</w:t>
      </w:r>
    </w:p>
    <w:bookmarkEnd w:id="103"/>
    <w:bookmarkStart w:id="104" w:name="Xdb26f55b12cffc94e19ccec39d2c00dc8bc3941"/>
    <w:p>
      <w:pPr>
        <w:pStyle w:val="Heading3"/>
      </w:pPr>
      <w:r>
        <w:t xml:space="preserve">5.2.2 Second Agency Problem - Government/Sovereign Insiders</w:t>
      </w:r>
    </w:p>
    <w:p>
      <w:pPr>
        <w:pStyle w:val="Compact"/>
        <w:numPr>
          <w:ilvl w:val="0"/>
          <w:numId w:val="1081"/>
        </w:numPr>
      </w:pPr>
      <w:r>
        <w:t xml:space="preserve">Do political leaders pursue national economic welfare?</w:t>
      </w:r>
    </w:p>
    <w:p>
      <w:pPr>
        <w:pStyle w:val="Compact"/>
        <w:numPr>
          <w:ilvl w:val="0"/>
          <w:numId w:val="1081"/>
        </w:numPr>
      </w:pPr>
      <w:r>
        <w:t xml:space="preserve">OR do they pursue personal power/wealth?</w:t>
      </w:r>
    </w:p>
    <w:p>
      <w:pPr>
        <w:pStyle w:val="FirstParagraph"/>
      </w:pPr>
      <w:r>
        <w:rPr>
          <w:b/>
          <w:bCs/>
        </w:rPr>
        <w:t xml:space="preserve">Examples:</w:t>
      </w:r>
    </w:p>
    <w:p>
      <w:pPr>
        <w:pStyle w:val="Compact"/>
        <w:numPr>
          <w:ilvl w:val="0"/>
          <w:numId w:val="1082"/>
        </w:numPr>
      </w:pPr>
      <w:r>
        <w:t xml:space="preserve">Corruption</w:t>
      </w:r>
    </w:p>
    <w:p>
      <w:pPr>
        <w:pStyle w:val="Compact"/>
        <w:numPr>
          <w:ilvl w:val="0"/>
          <w:numId w:val="1082"/>
        </w:numPr>
      </w:pPr>
      <w:r>
        <w:t xml:space="preserve">Expropriation</w:t>
      </w:r>
    </w:p>
    <w:p>
      <w:pPr>
        <w:pStyle w:val="Compact"/>
        <w:numPr>
          <w:ilvl w:val="0"/>
          <w:numId w:val="1082"/>
        </w:numPr>
      </w:pPr>
      <w:r>
        <w:t xml:space="preserve">Capital controls that harm economy but protect political power</w:t>
      </w:r>
    </w:p>
    <w:p>
      <w:pPr>
        <w:pStyle w:val="Compact"/>
        <w:numPr>
          <w:ilvl w:val="0"/>
          <w:numId w:val="1082"/>
        </w:numPr>
      </w:pPr>
      <w:r>
        <w:t xml:space="preserve">Regulatory capture</w:t>
      </w:r>
    </w:p>
    <w:bookmarkEnd w:id="104"/>
    <w:bookmarkEnd w:id="105"/>
    <w:bookmarkStart w:id="107" w:name="consequences-for-global-capital-flows"/>
    <w:p>
      <w:pPr>
        <w:pStyle w:val="Heading2"/>
      </w:pPr>
      <w:r>
        <w:t xml:space="preserve">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106" w:name="real-world-examples"/>
    <w:p>
      <w:pPr>
        <w:pStyle w:val="Heading3"/>
      </w:pPr>
      <w:r>
        <w:t xml:space="preserve">5.3.1 Real-World Examples</w:t>
      </w:r>
    </w:p>
    <w:p>
      <w:pPr>
        <w:pStyle w:val="FirstParagraph"/>
      </w:pPr>
      <w:r>
        <w:rPr>
          <w:b/>
          <w:bCs/>
        </w:rPr>
        <w:t xml:space="preserve">Positive Examples (Attracting Capital):</w:t>
      </w:r>
    </w:p>
    <w:p>
      <w:pPr>
        <w:pStyle w:val="Compact"/>
        <w:numPr>
          <w:ilvl w:val="0"/>
          <w:numId w:val="1083"/>
        </w:numPr>
      </w:pPr>
      <w:r>
        <w:t xml:space="preserve">Singapore: Strong rule of law, low corruption, excellent governance</w:t>
      </w:r>
    </w:p>
    <w:p>
      <w:pPr>
        <w:pStyle w:val="Compact"/>
        <w:numPr>
          <w:ilvl w:val="0"/>
          <w:numId w:val="1083"/>
        </w:numPr>
      </w:pPr>
      <w:r>
        <w:t xml:space="preserve">Result: Major financial center despite small size</w:t>
      </w:r>
    </w:p>
    <w:p>
      <w:pPr>
        <w:pStyle w:val="FirstParagraph"/>
      </w:pPr>
      <w:r>
        <w:rPr>
          <w:b/>
          <w:bCs/>
        </w:rPr>
        <w:t xml:space="preserve">Negative Examples (Capital Flight):</w:t>
      </w:r>
    </w:p>
    <w:p>
      <w:pPr>
        <w:pStyle w:val="Compact"/>
        <w:numPr>
          <w:ilvl w:val="0"/>
          <w:numId w:val="1084"/>
        </w:numPr>
      </w:pPr>
      <w:r>
        <w:t xml:space="preserve">Venezuela: Expropriation, corruption, poor governance</w:t>
      </w:r>
    </w:p>
    <w:p>
      <w:pPr>
        <w:pStyle w:val="Compact"/>
        <w:numPr>
          <w:ilvl w:val="0"/>
          <w:numId w:val="1084"/>
        </w:numPr>
      </w:pPr>
      <w:r>
        <w:t xml:space="preserve">Result: Economic collapse, capital flees</w:t>
      </w:r>
    </w:p>
    <w:bookmarkEnd w:id="106"/>
    <w:bookmarkEnd w:id="107"/>
    <w:bookmarkStart w:id="109" w:name="contemporary-challenges"/>
    <w:p>
      <w:pPr>
        <w:pStyle w:val="Heading2"/>
      </w:pPr>
      <w:r>
        <w:t xml:space="preserve">5.4 Contemporary Challenges</w:t>
      </w:r>
    </w:p>
    <w:bookmarkStart w:id="108" w:name="three-current-issues"/>
    <w:p>
      <w:pPr>
        <w:pStyle w:val="Heading3"/>
      </w:pPr>
      <w:r>
        <w:t xml:space="preserve">5.4.1 Three Current Issues</w:t>
      </w:r>
    </w:p>
    <w:p>
      <w:pPr>
        <w:pStyle w:val="FirstParagraph"/>
      </w:pPr>
      <w:r>
        <w:rPr>
          <w:b/>
          <w:bCs/>
        </w:rPr>
        <w:t xml:space="preserve">1. Inequality:</w:t>
      </w:r>
    </w:p>
    <w:p>
      <w:pPr>
        <w:pStyle w:val="Compact"/>
        <w:numPr>
          <w:ilvl w:val="0"/>
          <w:numId w:val="1085"/>
        </w:numPr>
      </w:pPr>
      <w:r>
        <w:t xml:space="preserve">Globalization benefits not evenly distributed</w:t>
      </w:r>
    </w:p>
    <w:p>
      <w:pPr>
        <w:pStyle w:val="Compact"/>
        <w:numPr>
          <w:ilvl w:val="0"/>
          <w:numId w:val="1085"/>
        </w:numPr>
      </w:pPr>
      <w:r>
        <w:t xml:space="preserve">Within-country inequality increasing</w:t>
      </w:r>
    </w:p>
    <w:p>
      <w:pPr>
        <w:pStyle w:val="Compact"/>
        <w:numPr>
          <w:ilvl w:val="0"/>
          <w:numId w:val="1085"/>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86"/>
        </w:numPr>
      </w:pPr>
      <w:r>
        <w:t xml:space="preserve">Companies structure operations to minimize taxes</w:t>
      </w:r>
    </w:p>
    <w:p>
      <w:pPr>
        <w:pStyle w:val="Compact"/>
        <w:numPr>
          <w:ilvl w:val="0"/>
          <w:numId w:val="1086"/>
        </w:numPr>
      </w:pPr>
      <w:r>
        <w:t xml:space="preserve">“Tax havens”</w:t>
      </w:r>
      <w:r>
        <w:t xml:space="preserve"> </w:t>
      </w:r>
      <w:r>
        <w:t xml:space="preserve">and profit shifting</w:t>
      </w:r>
    </w:p>
    <w:p>
      <w:pPr>
        <w:pStyle w:val="Compact"/>
        <w:numPr>
          <w:ilvl w:val="0"/>
          <w:numId w:val="1086"/>
        </w:numPr>
      </w:pPr>
      <w:r>
        <w:t xml:space="preserve">Creates political tensions</w:t>
      </w:r>
    </w:p>
    <w:p>
      <w:pPr>
        <w:pStyle w:val="FirstParagraph"/>
      </w:pPr>
      <w:r>
        <w:rPr>
          <w:b/>
          <w:bCs/>
        </w:rPr>
        <w:t xml:space="preserve">3. National Security vs. Economic Efficiency:</w:t>
      </w:r>
    </w:p>
    <w:p>
      <w:pPr>
        <w:pStyle w:val="Compact"/>
        <w:numPr>
          <w:ilvl w:val="0"/>
          <w:numId w:val="1087"/>
        </w:numPr>
      </w:pPr>
      <w:r>
        <w:t xml:space="preserve">Growing restrictions on foreign investment in</w:t>
      </w:r>
      <w:r>
        <w:t xml:space="preserve"> </w:t>
      </w:r>
      <w:r>
        <w:t xml:space="preserve">“strategic”</w:t>
      </w:r>
      <w:r>
        <w:t xml:space="preserve"> </w:t>
      </w:r>
      <w:r>
        <w:t xml:space="preserve">sectors</w:t>
      </w:r>
    </w:p>
    <w:p>
      <w:pPr>
        <w:pStyle w:val="Compact"/>
        <w:numPr>
          <w:ilvl w:val="0"/>
          <w:numId w:val="1087"/>
        </w:numPr>
      </w:pPr>
      <w:r>
        <w:t xml:space="preserve">Technology transfer concerns</w:t>
      </w:r>
    </w:p>
    <w:p>
      <w:pPr>
        <w:pStyle w:val="Compact"/>
        <w:numPr>
          <w:ilvl w:val="0"/>
          <w:numId w:val="1087"/>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108"/>
    <w:bookmarkEnd w:id="109"/>
    <w:bookmarkStart w:id="110" w:name="the-path-forward"/>
    <w:p>
      <w:pPr>
        <w:pStyle w:val="Heading2"/>
      </w:pPr>
      <w:r>
        <w:t xml:space="preserve">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88"/>
        </w:numPr>
      </w:pPr>
      <w:r>
        <w:t xml:space="preserve">Strong institutions</w:t>
      </w:r>
    </w:p>
    <w:p>
      <w:pPr>
        <w:pStyle w:val="Compact"/>
        <w:numPr>
          <w:ilvl w:val="0"/>
          <w:numId w:val="1088"/>
        </w:numPr>
      </w:pPr>
      <w:r>
        <w:t xml:space="preserve">Good governance</w:t>
      </w:r>
      <w:r>
        <w:br/>
      </w:r>
    </w:p>
    <w:p>
      <w:pPr>
        <w:pStyle w:val="Compact"/>
        <w:numPr>
          <w:ilvl w:val="0"/>
          <w:numId w:val="1088"/>
        </w:numPr>
      </w:pPr>
      <w:r>
        <w:t xml:space="preserve">Ethical leadership</w:t>
      </w:r>
    </w:p>
    <w:p>
      <w:pPr>
        <w:pStyle w:val="Compact"/>
        <w:numPr>
          <w:ilvl w:val="0"/>
          <w:numId w:val="1088"/>
        </w:numPr>
      </w:pPr>
      <w:r>
        <w:t xml:space="preserve">Informed citizenry</w:t>
      </w:r>
    </w:p>
    <w:p>
      <w:pPr>
        <w:pStyle w:val="Compact"/>
        <w:numPr>
          <w:ilvl w:val="0"/>
          <w:numId w:val="1088"/>
        </w:numPr>
      </w:pPr>
      <w:r>
        <w:t xml:space="preserve">Ongoing dialogue and adaptation</w:t>
      </w:r>
    </w:p>
    <w:p>
      <w:r>
        <w:pict>
          <v:rect style="width:0;height:1.5pt" o:hralign="center" o:hrstd="t" o:hr="t"/>
        </w:pict>
      </w:r>
    </w:p>
    <w:bookmarkEnd w:id="110"/>
    <w:bookmarkEnd w:id="111"/>
    <w:bookmarkStart w:id="128" w:name="conclusion-and-synthesis"/>
    <w:p>
      <w:pPr>
        <w:pStyle w:val="Heading1"/>
      </w:pPr>
      <w:r>
        <w:t xml:space="preserve">6. Conclusion and Synthesis</w:t>
      </w:r>
    </w:p>
    <w:bookmarkStart w:id="117" w:name="connecting-the-dots"/>
    <w:p>
      <w:pPr>
        <w:pStyle w:val="Heading2"/>
      </w:pPr>
      <w:r>
        <w:t xml:space="preserve">6.1 Connecting the Dots</w:t>
      </w:r>
    </w:p>
    <w:p>
      <w:pPr>
        <w:pStyle w:val="FirstParagraph"/>
      </w:pPr>
      <w:r>
        <w:t xml:space="preserve">Let’s bring together these major themes:</w:t>
      </w:r>
    </w:p>
    <w:bookmarkStart w:id="112" w:name="the-global-financial-marketplace-1"/>
    <w:p>
      <w:pPr>
        <w:pStyle w:val="Heading3"/>
      </w:pPr>
      <w:r>
        <w:t xml:space="preserve">6.1.1 The Global Financial Marketplace</w:t>
      </w:r>
    </w:p>
    <w:p>
      <w:pPr>
        <w:pStyle w:val="Compact"/>
        <w:numPr>
          <w:ilvl w:val="0"/>
          <w:numId w:val="1089"/>
        </w:numPr>
      </w:pPr>
      <w:r>
        <w:t xml:space="preserve">Complex ecosystem of securities, institutions, and currency linkages</w:t>
      </w:r>
    </w:p>
    <w:p>
      <w:pPr>
        <w:pStyle w:val="Compact"/>
        <w:numPr>
          <w:ilvl w:val="0"/>
          <w:numId w:val="1089"/>
        </w:numPr>
      </w:pPr>
      <w:r>
        <w:t xml:space="preserve">Larger and more interconnected than ever</w:t>
      </w:r>
    </w:p>
    <w:p>
      <w:pPr>
        <w:pStyle w:val="Compact"/>
        <w:numPr>
          <w:ilvl w:val="0"/>
          <w:numId w:val="1089"/>
        </w:numPr>
      </w:pPr>
      <w:r>
        <w:t xml:space="preserve">Creates both opportunities and risks</w:t>
      </w:r>
    </w:p>
    <w:bookmarkEnd w:id="112"/>
    <w:bookmarkStart w:id="113" w:name="comparative-advantage"/>
    <w:p>
      <w:pPr>
        <w:pStyle w:val="Heading3"/>
      </w:pPr>
      <w:r>
        <w:t xml:space="preserve">6.1.2 Comparative Advantage</w:t>
      </w:r>
    </w:p>
    <w:p>
      <w:pPr>
        <w:pStyle w:val="Compact"/>
        <w:numPr>
          <w:ilvl w:val="0"/>
          <w:numId w:val="1090"/>
        </w:numPr>
      </w:pPr>
      <w:r>
        <w:t xml:space="preserve">Still explains why international trade benefits countries</w:t>
      </w:r>
    </w:p>
    <w:p>
      <w:pPr>
        <w:pStyle w:val="Compact"/>
        <w:numPr>
          <w:ilvl w:val="0"/>
          <w:numId w:val="1090"/>
        </w:numPr>
      </w:pPr>
      <w:r>
        <w:t xml:space="preserve">Modern version focuses on services, skills, technology</w:t>
      </w:r>
    </w:p>
    <w:p>
      <w:pPr>
        <w:pStyle w:val="Compact"/>
        <w:numPr>
          <w:ilvl w:val="0"/>
          <w:numId w:val="1090"/>
        </w:numPr>
      </w:pPr>
      <w:r>
        <w:t xml:space="preserve">Dynamic, not static - shifts over time</w:t>
      </w:r>
    </w:p>
    <w:bookmarkEnd w:id="113"/>
    <w:bookmarkStart w:id="114" w:name="what-makes-international-finance-unique"/>
    <w:p>
      <w:pPr>
        <w:pStyle w:val="Heading3"/>
      </w:pPr>
      <w:r>
        <w:t xml:space="preserve">6.1.3 What Makes International Finance Unique</w:t>
      </w:r>
    </w:p>
    <w:p>
      <w:pPr>
        <w:pStyle w:val="Compact"/>
        <w:numPr>
          <w:ilvl w:val="0"/>
          <w:numId w:val="1091"/>
        </w:numPr>
      </w:pPr>
      <w:r>
        <w:t xml:space="preserve">Foreign exchange risk</w:t>
      </w:r>
    </w:p>
    <w:p>
      <w:pPr>
        <w:pStyle w:val="Compact"/>
        <w:numPr>
          <w:ilvl w:val="0"/>
          <w:numId w:val="1091"/>
        </w:numPr>
      </w:pPr>
      <w:r>
        <w:t xml:space="preserve">Political risk</w:t>
      </w:r>
    </w:p>
    <w:p>
      <w:pPr>
        <w:pStyle w:val="Compact"/>
        <w:numPr>
          <w:ilvl w:val="0"/>
          <w:numId w:val="1091"/>
        </w:numPr>
      </w:pPr>
      <w:r>
        <w:t xml:space="preserve">Cultural and institutional differences</w:t>
      </w:r>
    </w:p>
    <w:p>
      <w:pPr>
        <w:pStyle w:val="Compact"/>
        <w:numPr>
          <w:ilvl w:val="0"/>
          <w:numId w:val="1091"/>
        </w:numPr>
      </w:pPr>
      <w:r>
        <w:t xml:space="preserve">Corporate governance variations</w:t>
      </w:r>
    </w:p>
    <w:p>
      <w:pPr>
        <w:pStyle w:val="Compact"/>
        <w:numPr>
          <w:ilvl w:val="0"/>
          <w:numId w:val="1091"/>
        </w:numPr>
      </w:pPr>
      <w:r>
        <w:t xml:space="preserve">Required modifications to financial theories and instruments</w:t>
      </w:r>
    </w:p>
    <w:bookmarkEnd w:id="114"/>
    <w:bookmarkStart w:id="115" w:name="the-globalization-journey"/>
    <w:p>
      <w:pPr>
        <w:pStyle w:val="Heading3"/>
      </w:pPr>
      <w:r>
        <w:t xml:space="preserve">6.1.4 The Globalization Journey</w:t>
      </w:r>
    </w:p>
    <w:p>
      <w:pPr>
        <w:pStyle w:val="Compact"/>
        <w:numPr>
          <w:ilvl w:val="0"/>
          <w:numId w:val="1092"/>
        </w:numPr>
      </w:pPr>
      <w:r>
        <w:t xml:space="preserve">Progression from domestic → international trade → multinational</w:t>
      </w:r>
    </w:p>
    <w:p>
      <w:pPr>
        <w:pStyle w:val="Compact"/>
        <w:numPr>
          <w:ilvl w:val="0"/>
          <w:numId w:val="1092"/>
        </w:numPr>
      </w:pPr>
      <w:r>
        <w:t xml:space="preserve">Each phase brings new opportunities and new complexities</w:t>
      </w:r>
    </w:p>
    <w:p>
      <w:pPr>
        <w:pStyle w:val="Compact"/>
        <w:numPr>
          <w:ilvl w:val="0"/>
          <w:numId w:val="1092"/>
        </w:numPr>
      </w:pPr>
      <w:r>
        <w:t xml:space="preserve">Not all firms should fully globalize</w:t>
      </w:r>
    </w:p>
    <w:p>
      <w:pPr>
        <w:pStyle w:val="Compact"/>
        <w:numPr>
          <w:ilvl w:val="0"/>
          <w:numId w:val="1092"/>
        </w:numPr>
      </w:pPr>
      <w:r>
        <w:t xml:space="preserve">Not all globalization creates value</w:t>
      </w:r>
    </w:p>
    <w:bookmarkEnd w:id="115"/>
    <w:bookmarkStart w:id="116" w:name="limits-and-challenges"/>
    <w:p>
      <w:pPr>
        <w:pStyle w:val="Heading3"/>
      </w:pPr>
      <w:r>
        <w:t xml:space="preserve">6.1.5 Limits and Challenges</w:t>
      </w:r>
    </w:p>
    <w:p>
      <w:pPr>
        <w:pStyle w:val="Compact"/>
        <w:numPr>
          <w:ilvl w:val="0"/>
          <w:numId w:val="1093"/>
        </w:numPr>
      </w:pPr>
      <w:r>
        <w:t xml:space="preserve">Agency problems at corporate and sovereign levels</w:t>
      </w:r>
    </w:p>
    <w:p>
      <w:pPr>
        <w:pStyle w:val="Compact"/>
        <w:numPr>
          <w:ilvl w:val="0"/>
          <w:numId w:val="1093"/>
        </w:numPr>
      </w:pPr>
      <w:r>
        <w:t xml:space="preserve">Potential for value destruction</w:t>
      </w:r>
    </w:p>
    <w:p>
      <w:pPr>
        <w:pStyle w:val="Compact"/>
        <w:numPr>
          <w:ilvl w:val="0"/>
          <w:numId w:val="1093"/>
        </w:numPr>
      </w:pPr>
      <w:r>
        <w:t xml:space="preserve">Ongoing tension between efficiency and other goals (security, equity, stability)</w:t>
      </w:r>
    </w:p>
    <w:bookmarkEnd w:id="116"/>
    <w:bookmarkEnd w:id="117"/>
    <w:bookmarkStart w:id="118" w:name="looking-ahead"/>
    <w:p>
      <w:pPr>
        <w:pStyle w:val="Heading2"/>
      </w:pPr>
      <w:r>
        <w:t xml:space="preserve">6.2 Looking Ahead</w:t>
      </w:r>
    </w:p>
    <w:p>
      <w:pPr>
        <w:pStyle w:val="FirstParagraph"/>
      </w:pPr>
      <w:r>
        <w:rPr>
          <w:b/>
          <w:bCs/>
        </w:rPr>
        <w:t xml:space="preserve">Next chapters will build on this foundation:</w:t>
      </w:r>
    </w:p>
    <w:p>
      <w:pPr>
        <w:pStyle w:val="Compact"/>
        <w:numPr>
          <w:ilvl w:val="0"/>
          <w:numId w:val="1094"/>
        </w:numPr>
      </w:pPr>
      <w:r>
        <w:t xml:space="preserve">Chapter 2: International Monetary System - How currencies interact, exchange rate regimes</w:t>
      </w:r>
    </w:p>
    <w:p>
      <w:pPr>
        <w:pStyle w:val="Compact"/>
        <w:numPr>
          <w:ilvl w:val="0"/>
          <w:numId w:val="1094"/>
        </w:numPr>
      </w:pPr>
      <w:r>
        <w:t xml:space="preserve">Chapter 3: Balance of Payments - How we track international flows</w:t>
      </w:r>
    </w:p>
    <w:p>
      <w:pPr>
        <w:pStyle w:val="Compact"/>
        <w:numPr>
          <w:ilvl w:val="0"/>
          <w:numId w:val="1094"/>
        </w:numPr>
      </w:pPr>
      <w:r>
        <w:t xml:space="preserve">Chapter 4: Corporate Governance in depth - Different models worldwide</w:t>
      </w:r>
    </w:p>
    <w:p>
      <w:pPr>
        <w:pStyle w:val="Compact"/>
        <w:numPr>
          <w:ilvl w:val="0"/>
          <w:numId w:val="1094"/>
        </w:numPr>
      </w:pPr>
      <w:r>
        <w:t xml:space="preserve">Later: Foreign exchange markets, currency derivatives, international investment, multinational capital budgeting</w:t>
      </w:r>
    </w:p>
    <w:bookmarkEnd w:id="118"/>
    <w:bookmarkStart w:id="122" w:name="why-this-matters-to-you"/>
    <w:p>
      <w:pPr>
        <w:pStyle w:val="Heading2"/>
      </w:pPr>
      <w:r>
        <w:t xml:space="preserve">6.3 Why This Matters to You</w:t>
      </w:r>
    </w:p>
    <w:bookmarkStart w:id="119" w:name="career-relevance"/>
    <w:p>
      <w:pPr>
        <w:pStyle w:val="Heading3"/>
      </w:pPr>
      <w:r>
        <w:t xml:space="preserve">6.3.1 Career Relevance</w:t>
      </w:r>
    </w:p>
    <w:p>
      <w:pPr>
        <w:pStyle w:val="Compact"/>
        <w:numPr>
          <w:ilvl w:val="0"/>
          <w:numId w:val="1095"/>
        </w:numPr>
      </w:pPr>
      <w:r>
        <w:t xml:space="preserve">Almost every major company operates internationally</w:t>
      </w:r>
    </w:p>
    <w:p>
      <w:pPr>
        <w:pStyle w:val="Compact"/>
        <w:numPr>
          <w:ilvl w:val="0"/>
          <w:numId w:val="1095"/>
        </w:numPr>
      </w:pPr>
      <w:r>
        <w:t xml:space="preserve">Understanding these concepts makes you more valuable</w:t>
      </w:r>
    </w:p>
    <w:p>
      <w:pPr>
        <w:pStyle w:val="Compact"/>
        <w:numPr>
          <w:ilvl w:val="0"/>
          <w:numId w:val="1095"/>
        </w:numPr>
      </w:pPr>
      <w:r>
        <w:t xml:space="preserve">Finance, marketing, operations, strategy all require international awareness</w:t>
      </w:r>
    </w:p>
    <w:bookmarkEnd w:id="119"/>
    <w:bookmarkStart w:id="120" w:name="citizenship"/>
    <w:p>
      <w:pPr>
        <w:pStyle w:val="Heading3"/>
      </w:pPr>
      <w:r>
        <w:t xml:space="preserve">6.3.2 Citizenship</w:t>
      </w:r>
    </w:p>
    <w:p>
      <w:pPr>
        <w:pStyle w:val="Compact"/>
        <w:numPr>
          <w:ilvl w:val="0"/>
          <w:numId w:val="1096"/>
        </w:numPr>
      </w:pPr>
      <w:r>
        <w:t xml:space="preserve">Trade policy</w:t>
      </w:r>
    </w:p>
    <w:p>
      <w:pPr>
        <w:pStyle w:val="Compact"/>
        <w:numPr>
          <w:ilvl w:val="0"/>
          <w:numId w:val="1096"/>
        </w:numPr>
      </w:pPr>
      <w:r>
        <w:t xml:space="preserve">Tax policy</w:t>
      </w:r>
    </w:p>
    <w:p>
      <w:pPr>
        <w:pStyle w:val="Compact"/>
        <w:numPr>
          <w:ilvl w:val="0"/>
          <w:numId w:val="1096"/>
        </w:numPr>
      </w:pPr>
      <w:r>
        <w:t xml:space="preserve">Immigration</w:t>
      </w:r>
    </w:p>
    <w:p>
      <w:pPr>
        <w:pStyle w:val="Compact"/>
        <w:numPr>
          <w:ilvl w:val="0"/>
          <w:numId w:val="1096"/>
        </w:numPr>
      </w:pPr>
      <w:r>
        <w:t xml:space="preserve">National security</w:t>
      </w:r>
    </w:p>
    <w:p>
      <w:pPr>
        <w:pStyle w:val="FirstParagraph"/>
      </w:pPr>
      <w:r>
        <w:t xml:space="preserve">All involve international finance concepts.</w:t>
      </w:r>
    </w:p>
    <w:bookmarkEnd w:id="120"/>
    <w:bookmarkStart w:id="121" w:name="personal-finance"/>
    <w:p>
      <w:pPr>
        <w:pStyle w:val="Heading3"/>
      </w:pPr>
      <w:r>
        <w:t xml:space="preserve">6.3.3 Personal Finance</w:t>
      </w:r>
    </w:p>
    <w:p>
      <w:pPr>
        <w:pStyle w:val="Compact"/>
        <w:numPr>
          <w:ilvl w:val="0"/>
          <w:numId w:val="1097"/>
        </w:numPr>
      </w:pPr>
      <w:r>
        <w:t xml:space="preserve">International diversification</w:t>
      </w:r>
    </w:p>
    <w:p>
      <w:pPr>
        <w:pStyle w:val="Compact"/>
        <w:numPr>
          <w:ilvl w:val="0"/>
          <w:numId w:val="1097"/>
        </w:numPr>
      </w:pPr>
      <w:r>
        <w:t xml:space="preserve">Currency considerations</w:t>
      </w:r>
    </w:p>
    <w:p>
      <w:pPr>
        <w:pStyle w:val="Compact"/>
        <w:numPr>
          <w:ilvl w:val="0"/>
          <w:numId w:val="1097"/>
        </w:numPr>
      </w:pPr>
      <w:r>
        <w:t xml:space="preserve">Understanding global markets</w:t>
      </w:r>
    </w:p>
    <w:bookmarkEnd w:id="121"/>
    <w:bookmarkEnd w:id="122"/>
    <w:bookmarkStart w:id="127" w:name="X98dbbc596aa60b58680c73a1dfe3c4af206bb98"/>
    <w:p>
      <w:pPr>
        <w:pStyle w:val="Heading2"/>
      </w:pPr>
      <w:r>
        <w:t xml:space="preserve">6.4 Practical Advice for Success in This Course</w:t>
      </w:r>
    </w:p>
    <w:bookmarkStart w:id="123" w:name="stay-current"/>
    <w:p>
      <w:pPr>
        <w:pStyle w:val="Heading3"/>
      </w:pPr>
      <w:r>
        <w:t xml:space="preserve">6.4.1 Stay Current</w:t>
      </w:r>
    </w:p>
    <w:p>
      <w:pPr>
        <w:pStyle w:val="Compact"/>
        <w:numPr>
          <w:ilvl w:val="0"/>
          <w:numId w:val="1098"/>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098"/>
        </w:numPr>
      </w:pPr>
      <w:r>
        <w:t xml:space="preserve">Follow exchange rates</w:t>
      </w:r>
    </w:p>
    <w:p>
      <w:pPr>
        <w:pStyle w:val="Compact"/>
        <w:numPr>
          <w:ilvl w:val="0"/>
          <w:numId w:val="1098"/>
        </w:numPr>
      </w:pPr>
      <w:r>
        <w:t xml:space="preserve">Track international business news</w:t>
      </w:r>
    </w:p>
    <w:bookmarkEnd w:id="123"/>
    <w:bookmarkStart w:id="124" w:name="think-critically"/>
    <w:p>
      <w:pPr>
        <w:pStyle w:val="Heading3"/>
      </w:pPr>
      <w:r>
        <w:t xml:space="preserve">6.4.2 Think Critically</w:t>
      </w:r>
    </w:p>
    <w:p>
      <w:pPr>
        <w:pStyle w:val="Compact"/>
        <w:numPr>
          <w:ilvl w:val="0"/>
          <w:numId w:val="1099"/>
        </w:numPr>
      </w:pPr>
      <w:r>
        <w:t xml:space="preserve">Don’t just memorize formulas</w:t>
      </w:r>
    </w:p>
    <w:p>
      <w:pPr>
        <w:pStyle w:val="Compact"/>
        <w:numPr>
          <w:ilvl w:val="0"/>
          <w:numId w:val="1099"/>
        </w:numPr>
      </w:pPr>
      <w:r>
        <w:t xml:space="preserve">Understand the</w:t>
      </w:r>
      <w:r>
        <w:t xml:space="preserve"> </w:t>
      </w:r>
      <w:r>
        <w:t xml:space="preserve">“why”</w:t>
      </w:r>
      <w:r>
        <w:t xml:space="preserve"> </w:t>
      </w:r>
      <w:r>
        <w:t xml:space="preserve">behind concepts</w:t>
      </w:r>
    </w:p>
    <w:p>
      <w:pPr>
        <w:pStyle w:val="Compact"/>
        <w:numPr>
          <w:ilvl w:val="0"/>
          <w:numId w:val="1099"/>
        </w:numPr>
      </w:pPr>
      <w:r>
        <w:t xml:space="preserve">Question assumptions</w:t>
      </w:r>
    </w:p>
    <w:bookmarkEnd w:id="124"/>
    <w:bookmarkStart w:id="125" w:name="connect-concepts"/>
    <w:p>
      <w:pPr>
        <w:pStyle w:val="Heading3"/>
      </w:pPr>
      <w:r>
        <w:t xml:space="preserve">6.4.3 Connect Concepts</w:t>
      </w:r>
    </w:p>
    <w:p>
      <w:pPr>
        <w:pStyle w:val="Compact"/>
        <w:numPr>
          <w:ilvl w:val="0"/>
          <w:numId w:val="1100"/>
        </w:numPr>
      </w:pPr>
      <w:r>
        <w:t xml:space="preserve">International finance is integrative</w:t>
      </w:r>
    </w:p>
    <w:p>
      <w:pPr>
        <w:pStyle w:val="Compact"/>
        <w:numPr>
          <w:ilvl w:val="0"/>
          <w:numId w:val="1100"/>
        </w:numPr>
      </w:pPr>
      <w:r>
        <w:t xml:space="preserve">Links to economics, politics, strategy, culture</w:t>
      </w:r>
    </w:p>
    <w:p>
      <w:pPr>
        <w:pStyle w:val="Compact"/>
        <w:numPr>
          <w:ilvl w:val="0"/>
          <w:numId w:val="1100"/>
        </w:numPr>
      </w:pPr>
      <w:r>
        <w:t xml:space="preserve">Make connections across chapters</w:t>
      </w:r>
    </w:p>
    <w:bookmarkEnd w:id="125"/>
    <w:bookmarkStart w:id="126" w:name="use-real-examples"/>
    <w:p>
      <w:pPr>
        <w:pStyle w:val="Heading3"/>
      </w:pPr>
      <w:r>
        <w:t xml:space="preserve">6.4.4 Use Real Examples</w:t>
      </w:r>
    </w:p>
    <w:p>
      <w:pPr>
        <w:pStyle w:val="Compact"/>
        <w:numPr>
          <w:ilvl w:val="0"/>
          <w:numId w:val="1101"/>
        </w:numPr>
      </w:pPr>
      <w:r>
        <w:t xml:space="preserve">Apply concepts to companies you know</w:t>
      </w:r>
    </w:p>
    <w:p>
      <w:pPr>
        <w:pStyle w:val="Compact"/>
        <w:numPr>
          <w:ilvl w:val="0"/>
          <w:numId w:val="1101"/>
        </w:numPr>
      </w:pPr>
      <w:r>
        <w:t xml:space="preserve">Follow a multinational company throughout semester</w:t>
      </w:r>
    </w:p>
    <w:p>
      <w:pPr>
        <w:pStyle w:val="Compact"/>
        <w:numPr>
          <w:ilvl w:val="0"/>
          <w:numId w:val="1101"/>
        </w:numPr>
      </w:pPr>
      <w:r>
        <w:t xml:space="preserve">Analyze current events through international finance lens</w:t>
      </w:r>
    </w:p>
    <w:p>
      <w:r>
        <w:pict>
          <v:rect style="width:0;height:1.5pt" o:hralign="center" o:hrstd="t" o:hr="t"/>
        </w:pict>
      </w:r>
    </w:p>
    <w:bookmarkEnd w:id="126"/>
    <w:bookmarkEnd w:id="127"/>
    <w:bookmarkEnd w:id="128"/>
    <w:bookmarkStart w:id="129" w:name="preview-next-section"/>
    <w:p>
      <w:pPr>
        <w:pStyle w:val="Heading1"/>
      </w:pPr>
      <w:r>
        <w:t xml:space="preserve">7. Preview Next Section</w:t>
      </w:r>
    </w:p>
    <w:p>
      <w:pPr>
        <w:pStyle w:val="FirstParagraph"/>
      </w:pPr>
      <w:r>
        <w:rPr>
          <w:b/>
          <w:bCs/>
        </w:rPr>
        <w:t xml:space="preserve">What’s next:</w:t>
      </w:r>
    </w:p>
    <w:p>
      <w:pPr>
        <w:pStyle w:val="Compact"/>
        <w:numPr>
          <w:ilvl w:val="0"/>
          <w:numId w:val="1102"/>
        </w:numPr>
      </w:pPr>
      <w:r>
        <w:t xml:space="preserve">The International Monetary System (Chapter 2)</w:t>
      </w:r>
    </w:p>
    <w:p>
      <w:pPr>
        <w:pStyle w:val="Compact"/>
        <w:numPr>
          <w:ilvl w:val="0"/>
          <w:numId w:val="1102"/>
        </w:numPr>
      </w:pPr>
      <w:r>
        <w:t xml:space="preserve">Fixed vs. floating exchange rates</w:t>
      </w:r>
    </w:p>
    <w:p>
      <w:pPr>
        <w:pStyle w:val="Compact"/>
        <w:numPr>
          <w:ilvl w:val="0"/>
          <w:numId w:val="1102"/>
        </w:numPr>
      </w:pPr>
      <w:r>
        <w:t xml:space="preserve">The role of the IMF and World Bank</w:t>
      </w:r>
    </w:p>
    <w:p>
      <w:pPr>
        <w:pStyle w:val="Compact"/>
        <w:numPr>
          <w:ilvl w:val="0"/>
          <w:numId w:val="1102"/>
        </w:numPr>
      </w:pPr>
      <w:r>
        <w:t xml:space="preserve">Major currency crises in history</w:t>
      </w:r>
    </w:p>
    <w:p>
      <w:pPr>
        <w:pStyle w:val="Compact"/>
        <w:numPr>
          <w:ilvl w:val="0"/>
          <w:numId w:val="1102"/>
        </w:numPr>
      </w:pPr>
      <w:r>
        <w:t xml:space="preserve">The future of the dollar as reserve currency</w:t>
      </w:r>
    </w:p>
    <w:p>
      <w:r>
        <w:pict>
          <v:rect style="width:0;height:1.5pt" o:hralign="center" o:hrstd="t" o:hr="t"/>
        </w:pict>
      </w:r>
    </w:p>
    <w:bookmarkEnd w:id="129"/>
    <w:bookmarkStart w:id="130" w:name="final-thoughts"/>
    <w:p>
      <w:pPr>
        <w:pStyle w:val="Heading1"/>
      </w:pPr>
      <w:r>
        <w:t xml:space="preserve">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3" Target="media/rId33.png" /><Relationship Type="http://schemas.openxmlformats.org/officeDocument/2006/relationships/image" Id="rId26" Target="media/rId26.jp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2026-01-08T22:50:49Z</dcterms:created>
  <dcterms:modified xsi:type="dcterms:W3CDTF">2026-01-08T22:50:49Z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