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/w:tcPr><w:p><w:pPr><w:spacing w:before="0" w:after="60"></w:spacing><w:keepNext></w:keepNext><w:jc w:val="start"></w:jc></w:pPr><w:r><w:rPr><w:rFonts w:ascii="Calibri" w:hAnsi="Calibri"></w:rFonts><w:sz w:val="20"></w:sz></w:rPr><w:t xml:space="default"></w:t></w:r></w:p></w:tc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2007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2008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2009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2010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2011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2012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2013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2014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2015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2016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2017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2018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2019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2020</w:t></w:r></w:p></w:tc></w:tr>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AMIKAC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AMOCLA<w:rPr><w:vertAlign w:val="superscript"></w:vertAlign><w:i>true</w:i><w:t xml:space="default">1,2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AMPICI<w:rPr><w:vertAlign w:val="superscript"></w:vertAlign><w:i>true</w:i><w:t xml:space="default">1,3,2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17.6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CEFAZO<w:rPr><w:vertAlign w:val="superscript"></w:vertAlign><w:i>true</w:i><w:t xml:space="default">1,2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CEFOVE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CEFOXI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CEFPOD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CEFTIF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1.48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CEPHAL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2.6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CHLORA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19.2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14.4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CLINDA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DOXYCY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ENROFL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ERYTH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GENTAM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5.2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IMIPEN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MARBOF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0.62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MINOCY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NITRO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OXACIL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PENICI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PRADOF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RIFAMP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TETRA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TICARC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TICCLA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TRISUL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VANCOM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</w:t></w:r>
<w:r><w:rPr><w:rFonts w:ascii="Calibri" w:hAnsi="Calibri"></w:rFonts><w:sz w:val="20"></w:sz><w:vertAlign w:val="baseline"></w:vertAlign></w:rPr><w:t xml:space="default">NA: not applicable, no isolates tested against this antimicrobial in this year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1</w:t></w:r>
<w:r><w:rPr><w:rFonts w:ascii="Calibri" w:hAnsi="Calibri"></w:rFonts><w:sz w:val="20"></w:sz><w:vertAlign w:val="baseline"></w:vertAlign></w:rPr><w:t xml:space="default">P < 0.05, asymptotic logrank k-sample test (permutation form) across all years, Finkelstein's scores.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2</w:t></w:r>
<w:r><w:rPr><w:rFonts w:ascii="Calibri" w:hAnsi="Calibri"></w:rFonts><w:sz w:val="20"></w:sz><w:vertAlign w:val="baseline"></w:vertAlign></w:rPr><w:t xml:space="default">P < 0.05 Logrank test for year range 2017-2020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3</w:t></w:r>
<w:r><w:rPr><w:rFonts w:ascii="Calibri" w:hAnsi="Calibri"></w:rFonts><w:sz w:val="20"></w:sz><w:vertAlign w:val="baseline"></w:vertAlign></w:rPr><w:t xml:space="default">P < 0.05 Logrank test for year range 2011-2016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4</w:t></w:r>
<w:r><w:rPr><w:rFonts w:ascii="Calibri" w:hAnsi="Calibri"></w:rFonts><w:sz w:val="20"></w:sz><w:vertAlign w:val="baseline"></w:vertAlign></w:rPr><w:t xml:space="default">P < 0.05 Logrank test for year range 2007-2016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5</w:t></w:r>
<w:r><w:rPr><w:rFonts w:ascii="Calibri" w:hAnsi="Calibri"></w:rFonts><w:sz w:val="20"></w:sz><w:vertAlign w:val="baseline"></w:vertAlign></w:rPr><w:t xml:space="default">Logrank tests were not performed on antimicrobials with more than 90% of isolates having a single MIC value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6</w:t></w:r>
<w:r><w:rPr><w:rFonts w:ascii="Calibri" w:hAnsi="Calibri"></w:rFonts><w:sz w:val="20"></w:sz><w:vertAlign w:val="baseline"></w:vertAlign></w:rPr><w:t xml:space="default">P < 0.05 Logrank test for year range 2010-2020</w:t></w:r></w:p></w:tc></w:tr></w:tbl><w:p><w:pPr><w:pStyle w:val="FirstParagraph" /></w:pPr><w:r><w:t xml:space="preserve"></w:t></w:r></w:p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2023-04-02T19:48:32Z</dcterms:created>
  <dcterms:modified xsi:type="dcterms:W3CDTF">2023-04-02T19:48:32Z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