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Isolates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 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 (129)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 (875)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(1360)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(1410)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(1444)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(1554)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CHLORA.newBP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(1784)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(1763)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(716)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ENROFL.newBP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(1635)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(1783)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(1763)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(1577)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MARBOF.newBP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(1047)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 (1783)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(1409)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(732)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 (1781)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(1783)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MDR
                <w:rPr>
                  <w:vertAlign w:val="superscript"/>
                  <w:i>true</w:i>
                  <w:t xml:space="default">2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(836)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For each antimicrobial: Not susceptible isolate prevalence (number of isolates tested)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P-value from Cochran-Armitage test for trend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2007 was excluded because fewer than 30 isolates were available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newBP refers to breakpoints that will be in CLSI VET01S7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2</w:t>
            </w:r>
            <w:r>
              <w:rPr>
                <w:rFonts w:ascii="Calibri" w:hAnsi="Calibri"/>
                <w:sz w:val="20"/>
                <w:vertAlign w:val="baseline"/>
              </w:rPr>
              <w:t xml:space="default">Multidrug Resistance prevalence (number of MDR isolates)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2024-02-28T19:05:59Z</dcterms:created>
  <dcterms:modified xsi:type="dcterms:W3CDTF">2024-02-28T19:05:59Z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